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0A0826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9012A7">
        <w:rPr>
          <w:rFonts w:cs="Arial"/>
          <w:color w:val="000000"/>
          <w:sz w:val="24"/>
          <w:szCs w:val="24"/>
        </w:rPr>
        <w:t>900325</w:t>
      </w:r>
      <w:bookmarkStart w:id="0" w:name="_GoBack"/>
      <w:bookmarkEnd w:id="0"/>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521725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500CA">
        <w:rPr>
          <w:rFonts w:ascii="Arial" w:hAnsi="Arial"/>
          <w:sz w:val="24"/>
          <w:lang w:val="en-US"/>
        </w:rPr>
        <w:t>7.14.1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802849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7EE3">
        <w:rPr>
          <w:rFonts w:ascii="Arial" w:hAnsi="Arial"/>
          <w:sz w:val="24"/>
          <w:lang w:val="en-US"/>
        </w:rPr>
        <w:t>On R16 further performance enhancement for LTE in high speed scenario</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104E12E0" w:rsidR="00E7044A" w:rsidRDefault="00E7044A" w:rsidP="00E7044A">
      <w:pPr>
        <w:rPr>
          <w:lang w:val="en-US"/>
        </w:rPr>
      </w:pPr>
      <w:r>
        <w:rPr>
          <w:lang w:val="en-US"/>
        </w:rPr>
        <w:t>In RAN</w:t>
      </w:r>
      <w:r w:rsidR="00897EE3">
        <w:rPr>
          <w:lang w:val="en-US"/>
        </w:rPr>
        <w:t xml:space="preserve"> plenary </w:t>
      </w:r>
      <w:r>
        <w:rPr>
          <w:lang w:val="en-US"/>
        </w:rPr>
        <w:t>#</w:t>
      </w:r>
      <w:r w:rsidR="00897EE3">
        <w:rPr>
          <w:lang w:val="en-US"/>
        </w:rPr>
        <w:t>80</w:t>
      </w:r>
      <w:r>
        <w:rPr>
          <w:lang w:val="en-US"/>
        </w:rPr>
        <w:t xml:space="preserve"> meeting, </w:t>
      </w:r>
      <w:r w:rsidR="00897EE3">
        <w:rPr>
          <w:lang w:val="en-US"/>
        </w:rPr>
        <w:t>new work item on further performance enhancement for LTE in high speed scenario was approved</w:t>
      </w:r>
      <w:r>
        <w:rPr>
          <w:lang w:val="en-US"/>
        </w:rPr>
        <w:t xml:space="preserve"> [1]</w:t>
      </w:r>
      <w:r w:rsidR="00897EE3">
        <w:rPr>
          <w:lang w:val="en-US"/>
        </w:rPr>
        <w:t>. The objectives of the core part of this WI are as follows:</w:t>
      </w:r>
    </w:p>
    <w:p w14:paraId="2A25011C" w14:textId="718302AE" w:rsidR="00E7044A" w:rsidRDefault="00E7044A" w:rsidP="00E7044A">
      <w:pPr>
        <w:rPr>
          <w:lang w:val="en-US"/>
        </w:rPr>
      </w:pPr>
      <w:r w:rsidRPr="0074147F">
        <w:rPr>
          <w:noProof/>
          <w:lang w:val="en-US" w:eastAsia="zh-CN"/>
        </w:rPr>
        <mc:AlternateContent>
          <mc:Choice Requires="wps">
            <w:drawing>
              <wp:inline distT="0" distB="0" distL="0" distR="0" wp14:anchorId="32186148" wp14:editId="061D1E18">
                <wp:extent cx="5881420" cy="5322498"/>
                <wp:effectExtent l="0" t="0" r="2413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322498"/>
                        </a:xfrm>
                        <a:prstGeom prst="rect">
                          <a:avLst/>
                        </a:prstGeom>
                        <a:solidFill>
                          <a:srgbClr val="FFFFFF"/>
                        </a:solidFill>
                        <a:ln w="9525">
                          <a:solidFill>
                            <a:srgbClr val="000000"/>
                          </a:solidFill>
                          <a:miter lim="800000"/>
                          <a:headEnd/>
                          <a:tailEnd/>
                        </a:ln>
                      </wps:spPr>
                      <wps:txbx>
                        <w:txbxContent>
                          <w:p w14:paraId="285C83BB" w14:textId="77777777" w:rsidR="008D6487" w:rsidRDefault="008D6487" w:rsidP="00CF7FD1">
                            <w:pPr>
                              <w:spacing w:afterLines="50" w:after="120"/>
                              <w:ind w:left="420" w:hanging="420"/>
                            </w:pPr>
                          </w:p>
                          <w:p w14:paraId="0A5CD8B6" w14:textId="77777777" w:rsidR="00897EE3" w:rsidRDefault="00897EE3" w:rsidP="00CF7FD1">
                            <w:pPr>
                              <w:numPr>
                                <w:ilvl w:val="0"/>
                                <w:numId w:val="7"/>
                              </w:numPr>
                              <w:spacing w:afterLines="50" w:after="120"/>
                              <w:rPr>
                                <w:lang w:val="en-US" w:eastAsia="zh-CN"/>
                              </w:rPr>
                            </w:pPr>
                            <w:r>
                              <w:rPr>
                                <w:lang w:val="en-US" w:eastAsia="zh-CN"/>
                              </w:rPr>
                              <w:t>Extend the RRM/demodulation enhancement to CA in release 14 HST scenario [</w:t>
                            </w:r>
                            <w:r w:rsidRPr="00A851C7">
                              <w:rPr>
                                <w:highlight w:val="green"/>
                                <w:lang w:val="en-US" w:eastAsia="zh-CN"/>
                              </w:rPr>
                              <w:t>RAN4</w:t>
                            </w:r>
                            <w:r>
                              <w:rPr>
                                <w:lang w:val="en-US" w:eastAsia="zh-CN"/>
                              </w:rPr>
                              <w:t>/RAN2]</w:t>
                            </w:r>
                          </w:p>
                          <w:p w14:paraId="26F2727E" w14:textId="77777777" w:rsidR="00897EE3" w:rsidRPr="004048F8" w:rsidRDefault="00897EE3" w:rsidP="00CF7FD1">
                            <w:pPr>
                              <w:numPr>
                                <w:ilvl w:val="1"/>
                                <w:numId w:val="7"/>
                              </w:numPr>
                              <w:spacing w:afterLines="50" w:after="120"/>
                              <w:rPr>
                                <w:lang w:val="en-US" w:eastAsia="zh-CN"/>
                              </w:rPr>
                            </w:pPr>
                            <w:r>
                              <w:rPr>
                                <w:lang w:val="en-US" w:eastAsia="zh-CN"/>
                              </w:rPr>
                              <w:t xml:space="preserve">At least, extend Rel-14 RRM/demodulation enhancement to CA case </w:t>
                            </w:r>
                          </w:p>
                          <w:p w14:paraId="5EBCA1F1" w14:textId="77777777" w:rsidR="00897EE3" w:rsidRDefault="00897EE3" w:rsidP="00CF7FD1">
                            <w:pPr>
                              <w:numPr>
                                <w:ilvl w:val="0"/>
                                <w:numId w:val="7"/>
                              </w:numPr>
                              <w:spacing w:afterLines="50" w:after="120"/>
                              <w:rPr>
                                <w:lang w:val="en-US" w:eastAsia="zh-CN"/>
                              </w:rPr>
                            </w:pPr>
                            <w:r>
                              <w:rPr>
                                <w:lang w:val="en-US" w:eastAsia="zh-CN"/>
                              </w:rPr>
                              <w:t>The following new scenario are considered for non-CA case [</w:t>
                            </w:r>
                            <w:r w:rsidRPr="00A851C7">
                              <w:rPr>
                                <w:highlight w:val="green"/>
                                <w:lang w:val="en-US" w:eastAsia="zh-CN"/>
                              </w:rPr>
                              <w:t>RAN4</w:t>
                            </w:r>
                            <w:r>
                              <w:rPr>
                                <w:lang w:val="en-US" w:eastAsia="zh-CN"/>
                              </w:rPr>
                              <w:t>]</w:t>
                            </w:r>
                          </w:p>
                          <w:p w14:paraId="059D81F5" w14:textId="77777777" w:rsidR="00897EE3" w:rsidRPr="00C25160" w:rsidRDefault="00897EE3" w:rsidP="00CF7FD1">
                            <w:pPr>
                              <w:numPr>
                                <w:ilvl w:val="1"/>
                                <w:numId w:val="7"/>
                              </w:numPr>
                              <w:spacing w:afterLines="50" w:after="120"/>
                              <w:rPr>
                                <w:lang w:val="en-US" w:eastAsia="zh-CN"/>
                              </w:rPr>
                            </w:pPr>
                            <w:r>
                              <w:rPr>
                                <w:lang w:val="en-US" w:eastAsia="zh-CN"/>
                              </w:rPr>
                              <w:t>The target speed is 500km/h (2.8 GHz)</w:t>
                            </w:r>
                          </w:p>
                          <w:p w14:paraId="068F3A99" w14:textId="546481F8" w:rsidR="00897EE3" w:rsidRDefault="00897EE3" w:rsidP="00CF7FD1">
                            <w:pPr>
                              <w:numPr>
                                <w:ilvl w:val="1"/>
                                <w:numId w:val="7"/>
                              </w:numPr>
                              <w:spacing w:afterLines="50" w:after="120"/>
                              <w:rPr>
                                <w:lang w:val="en-US" w:eastAsia="zh-CN"/>
                              </w:rPr>
                            </w:pPr>
                            <w:r>
                              <w:rPr>
                                <w:lang w:val="en-US" w:eastAsia="zh-CN"/>
                              </w:rPr>
                              <w:t xml:space="preserve">SFN scenario defined in TS36.101 and TR36.878 with bidirectional coverage for tunnel and open space </w:t>
                            </w:r>
                          </w:p>
                          <w:p w14:paraId="1CB7D0B9" w14:textId="77777777" w:rsidR="00897EE3" w:rsidRDefault="00897EE3" w:rsidP="00CF7FD1">
                            <w:pPr>
                              <w:numPr>
                                <w:ilvl w:val="1"/>
                                <w:numId w:val="7"/>
                              </w:numPr>
                              <w:spacing w:afterLines="50" w:after="120"/>
                              <w:rPr>
                                <w:lang w:val="en-US" w:eastAsia="zh-CN"/>
                              </w:rPr>
                            </w:pPr>
                            <w:r>
                              <w:rPr>
                                <w:lang w:val="en-US" w:eastAsia="zh-CN"/>
                              </w:rPr>
                              <w:t>SFN scenario defined in TS36.878 with unidirectional coverage for tunnel and open space</w:t>
                            </w:r>
                          </w:p>
                          <w:p w14:paraId="52CF1B8D" w14:textId="77777777" w:rsidR="00897EE3" w:rsidRDefault="00897EE3" w:rsidP="00CF7FD1">
                            <w:pPr>
                              <w:numPr>
                                <w:ilvl w:val="2"/>
                                <w:numId w:val="7"/>
                              </w:numPr>
                              <w:spacing w:afterLines="50" w:after="120"/>
                              <w:rPr>
                                <w:lang w:val="en-US" w:eastAsia="zh-CN"/>
                              </w:rPr>
                            </w:pPr>
                            <w:r>
                              <w:rPr>
                                <w:lang w:val="en-US" w:eastAsia="zh-CN"/>
                              </w:rPr>
                              <w:t xml:space="preserve">More discussion on how to specify the general unidirectional antenna pattern </w:t>
                            </w:r>
                          </w:p>
                          <w:p w14:paraId="329CE665" w14:textId="77777777" w:rsidR="00897EE3" w:rsidRPr="00022003" w:rsidRDefault="00897EE3" w:rsidP="00CF7FD1">
                            <w:pPr>
                              <w:numPr>
                                <w:ilvl w:val="1"/>
                                <w:numId w:val="7"/>
                              </w:numPr>
                              <w:rPr>
                                <w:lang w:val="en-US" w:eastAsia="zh-CN"/>
                              </w:rPr>
                            </w:pPr>
                            <w:r>
                              <w:rPr>
                                <w:lang w:val="en-US" w:eastAsia="zh-CN"/>
                              </w:rPr>
                              <w:t>In addition to SFN scenarios, other deployment scenarios are not precluded</w:t>
                            </w:r>
                          </w:p>
                          <w:p w14:paraId="483F6E95" w14:textId="77777777" w:rsidR="00897EE3" w:rsidRDefault="00897EE3" w:rsidP="00CF7FD1">
                            <w:pPr>
                              <w:numPr>
                                <w:ilvl w:val="0"/>
                                <w:numId w:val="7"/>
                              </w:numPr>
                              <w:spacing w:afterLines="50" w:after="120"/>
                              <w:rPr>
                                <w:lang w:val="en-US" w:eastAsia="zh-CN"/>
                              </w:rPr>
                            </w:pPr>
                            <w:r>
                              <w:rPr>
                                <w:lang w:val="en-US" w:eastAsia="zh-CN"/>
                              </w:rPr>
                              <w:t xml:space="preserve">Evaluate the downlink and uplink demodulation performance under the above scenarios, using the existing LTE CRS/DMRS, and study possible </w:t>
                            </w:r>
                            <w:r w:rsidRPr="00FA3E88">
                              <w:rPr>
                                <w:lang w:val="en-US" w:eastAsia="zh-CN"/>
                              </w:rPr>
                              <w:t>enhance</w:t>
                            </w:r>
                            <w:r w:rsidRPr="003B7E0A">
                              <w:rPr>
                                <w:lang w:val="en-US" w:eastAsia="zh-CN"/>
                              </w:rPr>
                              <w:t>ment</w:t>
                            </w:r>
                            <w:r>
                              <w:rPr>
                                <w:lang w:val="en-US" w:eastAsia="zh-CN"/>
                              </w:rPr>
                              <w:t>s</w:t>
                            </w:r>
                            <w:r w:rsidRPr="00FA3E88">
                              <w:rPr>
                                <w:lang w:val="en-US" w:eastAsia="zh-CN"/>
                              </w:rPr>
                              <w:t xml:space="preserve"> </w:t>
                            </w:r>
                            <w:r w:rsidRPr="003B7E0A">
                              <w:rPr>
                                <w:lang w:val="en-US" w:eastAsia="zh-CN"/>
                              </w:rPr>
                              <w:t>of t</w:t>
                            </w:r>
                            <w:r w:rsidRPr="00FA3E88">
                              <w:rPr>
                                <w:lang w:val="en-US" w:eastAsia="zh-CN"/>
                              </w:rPr>
                              <w:t>he downlink and uplink demodulation under those scenarios</w:t>
                            </w:r>
                            <w:r>
                              <w:rPr>
                                <w:lang w:val="en-US" w:eastAsia="zh-CN"/>
                              </w:rPr>
                              <w:t>, aiming to provide inputs to RAN2 if needed [</w:t>
                            </w:r>
                            <w:r w:rsidRPr="00A851C7">
                              <w:rPr>
                                <w:highlight w:val="green"/>
                                <w:lang w:val="en-US" w:eastAsia="zh-CN"/>
                              </w:rPr>
                              <w:t>RAN4</w:t>
                            </w:r>
                            <w:r>
                              <w:rPr>
                                <w:lang w:val="en-US" w:eastAsia="zh-CN"/>
                              </w:rPr>
                              <w:t xml:space="preserve">] </w:t>
                            </w:r>
                          </w:p>
                          <w:p w14:paraId="44822551" w14:textId="77777777" w:rsidR="00897EE3" w:rsidRDefault="00897EE3" w:rsidP="00CF7FD1">
                            <w:pPr>
                              <w:numPr>
                                <w:ilvl w:val="1"/>
                                <w:numId w:val="7"/>
                              </w:numPr>
                              <w:spacing w:afterLines="50" w:after="120"/>
                              <w:rPr>
                                <w:lang w:val="en-US" w:eastAsia="zh-CN"/>
                              </w:rPr>
                            </w:pPr>
                            <w:r>
                              <w:rPr>
                                <w:lang w:val="en-US" w:eastAsia="zh-CN"/>
                              </w:rPr>
                              <w:t>New or modified physical layer reference signals shall not be considered</w:t>
                            </w:r>
                          </w:p>
                          <w:p w14:paraId="4FDE7070" w14:textId="77777777" w:rsidR="00897EE3" w:rsidRPr="008B5D3D" w:rsidRDefault="00897EE3" w:rsidP="00CF7FD1">
                            <w:pPr>
                              <w:numPr>
                                <w:ilvl w:val="1"/>
                                <w:numId w:val="7"/>
                              </w:numPr>
                              <w:spacing w:afterLines="50" w:after="120"/>
                              <w:rPr>
                                <w:lang w:val="en-US" w:eastAsia="zh-CN"/>
                              </w:rPr>
                            </w:pPr>
                            <w:r>
                              <w:rPr>
                                <w:lang w:val="en-US" w:eastAsia="zh-CN"/>
                              </w:rPr>
                              <w:t xml:space="preserve">Change for PRACH shall not be considered </w:t>
                            </w:r>
                          </w:p>
                          <w:p w14:paraId="238C54A0" w14:textId="77777777" w:rsidR="00897EE3" w:rsidRDefault="00897EE3" w:rsidP="00CF7FD1">
                            <w:pPr>
                              <w:numPr>
                                <w:ilvl w:val="1"/>
                                <w:numId w:val="7"/>
                              </w:numPr>
                              <w:spacing w:afterLines="50" w:after="120"/>
                              <w:rPr>
                                <w:lang w:val="en-US" w:eastAsia="zh-CN"/>
                              </w:rPr>
                            </w:pPr>
                            <w:r>
                              <w:rPr>
                                <w:lang w:val="en-US" w:eastAsia="zh-CN"/>
                              </w:rPr>
                              <w:t>T</w:t>
                            </w:r>
                            <w:r w:rsidRPr="009928BB">
                              <w:rPr>
                                <w:lang w:val="en-US" w:eastAsia="zh-CN"/>
                              </w:rPr>
                              <w:t xml:space="preserve">he maximum Doppler shift </w:t>
                            </w:r>
                            <w:r>
                              <w:rPr>
                                <w:lang w:val="en-US" w:eastAsia="zh-CN"/>
                              </w:rPr>
                              <w:t>supported by</w:t>
                            </w:r>
                            <w:r w:rsidRPr="009928BB">
                              <w:rPr>
                                <w:lang w:val="en-US" w:eastAsia="zh-CN"/>
                              </w:rPr>
                              <w:t xml:space="preserve"> the LTE CRS/DMRS transmission schemes</w:t>
                            </w:r>
                            <w:r>
                              <w:rPr>
                                <w:lang w:val="en-US" w:eastAsia="zh-CN"/>
                              </w:rPr>
                              <w:t xml:space="preserve"> is to be determined by RAN4</w:t>
                            </w:r>
                          </w:p>
                          <w:p w14:paraId="5E8951D9" w14:textId="77777777" w:rsidR="00897EE3" w:rsidRDefault="00897EE3" w:rsidP="00CF7FD1">
                            <w:pPr>
                              <w:numPr>
                                <w:ilvl w:val="1"/>
                                <w:numId w:val="7"/>
                              </w:numPr>
                              <w:spacing w:afterLines="50" w:after="120"/>
                              <w:rPr>
                                <w:lang w:val="en-US" w:eastAsia="zh-CN"/>
                              </w:rPr>
                            </w:pPr>
                            <w:r>
                              <w:rPr>
                                <w:lang w:val="en-US" w:eastAsia="zh-CN"/>
                              </w:rPr>
                              <w:t>If RAN4 identifies the necessity for enhancements, define relevant signaling support [</w:t>
                            </w:r>
                            <w:r w:rsidRPr="002654FA">
                              <w:rPr>
                                <w:highlight w:val="green"/>
                                <w:lang w:val="en-US" w:eastAsia="zh-CN"/>
                              </w:rPr>
                              <w:t>RAN4</w:t>
                            </w:r>
                            <w:r>
                              <w:rPr>
                                <w:lang w:val="en-US" w:eastAsia="zh-CN"/>
                              </w:rPr>
                              <w:t>/RAN2]</w:t>
                            </w:r>
                          </w:p>
                          <w:p w14:paraId="5515CA2C" w14:textId="77777777" w:rsidR="00897EE3" w:rsidRDefault="00897EE3" w:rsidP="00CF7FD1">
                            <w:pPr>
                              <w:numPr>
                                <w:ilvl w:val="0"/>
                                <w:numId w:val="7"/>
                              </w:numPr>
                              <w:spacing w:afterLines="50" w:after="120"/>
                              <w:rPr>
                                <w:lang w:val="en-US" w:eastAsia="zh-CN"/>
                              </w:rPr>
                            </w:pPr>
                            <w:r>
                              <w:rPr>
                                <w:lang w:val="en-US" w:eastAsia="zh-CN"/>
                              </w:rPr>
                              <w:t xml:space="preserve">Investigate the RRM measurement performance </w:t>
                            </w:r>
                            <w:r w:rsidRPr="004F45CA">
                              <w:rPr>
                                <w:lang w:val="en-US" w:eastAsia="zh-CN"/>
                              </w:rPr>
                              <w:t xml:space="preserve">in the </w:t>
                            </w:r>
                            <w:proofErr w:type="gramStart"/>
                            <w:r w:rsidRPr="004F45CA">
                              <w:rPr>
                                <w:lang w:val="en-US" w:eastAsia="zh-CN"/>
                              </w:rPr>
                              <w:t>high speed</w:t>
                            </w:r>
                            <w:proofErr w:type="gramEnd"/>
                            <w:r w:rsidRPr="004F45CA">
                              <w:rPr>
                                <w:lang w:val="en-US" w:eastAsia="zh-CN"/>
                              </w:rPr>
                              <w:t xml:space="preserve"> scenario</w:t>
                            </w:r>
                            <w:r>
                              <w:rPr>
                                <w:lang w:val="en-US" w:eastAsia="zh-CN"/>
                              </w:rPr>
                              <w:t xml:space="preserve"> [</w:t>
                            </w:r>
                            <w:r w:rsidRPr="002654FA">
                              <w:rPr>
                                <w:highlight w:val="green"/>
                                <w:lang w:val="en-US" w:eastAsia="zh-CN"/>
                              </w:rPr>
                              <w:t>RAN4</w:t>
                            </w:r>
                            <w:r>
                              <w:rPr>
                                <w:lang w:val="en-US" w:eastAsia="zh-CN"/>
                              </w:rPr>
                              <w:t>]</w:t>
                            </w:r>
                          </w:p>
                          <w:p w14:paraId="54A5E2B5" w14:textId="77777777" w:rsidR="00897EE3" w:rsidRDefault="00897EE3" w:rsidP="00CF7FD1">
                            <w:pPr>
                              <w:numPr>
                                <w:ilvl w:val="1"/>
                                <w:numId w:val="7"/>
                              </w:numPr>
                              <w:spacing w:afterLines="50" w:after="120"/>
                              <w:rPr>
                                <w:lang w:val="en-US" w:eastAsia="zh-CN"/>
                              </w:rPr>
                            </w:pPr>
                            <w:r>
                              <w:rPr>
                                <w:lang w:val="en-US" w:eastAsia="zh-CN"/>
                              </w:rPr>
                              <w:t>If RAN4 identifies the necessity for enhancements, define relevant signaling support [RAN4/RAN2]</w:t>
                            </w:r>
                          </w:p>
                          <w:p w14:paraId="7AF71816" w14:textId="77777777" w:rsidR="00897EE3" w:rsidRDefault="00897EE3" w:rsidP="00CF7FD1">
                            <w:pPr>
                              <w:numPr>
                                <w:ilvl w:val="0"/>
                                <w:numId w:val="7"/>
                              </w:numPr>
                              <w:spacing w:afterLines="50" w:after="120"/>
                              <w:rPr>
                                <w:lang w:val="en-US" w:eastAsia="zh-CN"/>
                              </w:rPr>
                            </w:pPr>
                            <w:r>
                              <w:rPr>
                                <w:lang w:val="en-US" w:eastAsia="zh-CN"/>
                              </w:rPr>
                              <w:t xml:space="preserve">Investigate </w:t>
                            </w:r>
                            <w:r w:rsidRPr="004F45CA">
                              <w:rPr>
                                <w:lang w:val="en-US" w:eastAsia="zh-CN"/>
                              </w:rPr>
                              <w:t xml:space="preserve">the robustness for RLM in the </w:t>
                            </w:r>
                            <w:proofErr w:type="gramStart"/>
                            <w:r w:rsidRPr="004F45CA">
                              <w:rPr>
                                <w:lang w:val="en-US" w:eastAsia="zh-CN"/>
                              </w:rPr>
                              <w:t>high speed</w:t>
                            </w:r>
                            <w:proofErr w:type="gramEnd"/>
                            <w:r w:rsidRPr="004F45CA">
                              <w:rPr>
                                <w:lang w:val="en-US" w:eastAsia="zh-CN"/>
                              </w:rPr>
                              <w:t xml:space="preserve"> scenario</w:t>
                            </w:r>
                            <w:r>
                              <w:rPr>
                                <w:lang w:val="en-US" w:eastAsia="zh-CN"/>
                              </w:rPr>
                              <w:t xml:space="preserve"> [</w:t>
                            </w:r>
                            <w:r w:rsidRPr="002654FA">
                              <w:rPr>
                                <w:highlight w:val="green"/>
                                <w:lang w:val="en-US" w:eastAsia="zh-CN"/>
                              </w:rPr>
                              <w:t>RAN4</w:t>
                            </w:r>
                            <w:r>
                              <w:rPr>
                                <w:lang w:val="en-US" w:eastAsia="zh-CN"/>
                              </w:rPr>
                              <w:t>]</w:t>
                            </w:r>
                          </w:p>
                          <w:p w14:paraId="7463F821" w14:textId="77777777" w:rsidR="00897EE3" w:rsidRDefault="00897EE3" w:rsidP="00CF7FD1">
                            <w:pPr>
                              <w:numPr>
                                <w:ilvl w:val="1"/>
                                <w:numId w:val="7"/>
                              </w:numPr>
                              <w:spacing w:afterLines="50" w:after="120"/>
                              <w:rPr>
                                <w:lang w:val="en-US" w:eastAsia="zh-CN"/>
                              </w:rPr>
                            </w:pPr>
                            <w:r w:rsidRPr="002C6D7A">
                              <w:rPr>
                                <w:rFonts w:hint="eastAsia"/>
                              </w:rPr>
                              <w:t xml:space="preserve"> </w:t>
                            </w:r>
                            <w:r>
                              <w:rPr>
                                <w:lang w:val="en-US" w:eastAsia="zh-CN"/>
                              </w:rPr>
                              <w:t>If RAN4 identifies the necessity for enhancements, define relevant signaling support [RAN4/RAN2]</w:t>
                            </w:r>
                          </w:p>
                          <w:p w14:paraId="2EDAD8B1" w14:textId="77777777" w:rsidR="00897EE3" w:rsidRDefault="00897EE3" w:rsidP="00897EE3">
                            <w:pPr>
                              <w:spacing w:afterLines="50" w:after="120"/>
                              <w:ind w:left="840"/>
                              <w:rPr>
                                <w:lang w:val="en-US" w:eastAsia="zh-CN"/>
                              </w:rPr>
                            </w:pPr>
                          </w:p>
                          <w:p w14:paraId="3560F10B" w14:textId="77777777" w:rsidR="00E411D4" w:rsidRPr="00E7044A" w:rsidRDefault="00E411D4"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41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">
                <v:textbox>
                  <w:txbxContent>
                    <w:p w14:paraId="285C83BB" w14:textId="77777777" w:rsidR="008D6487" w:rsidRDefault="008D6487" w:rsidP="00CF7FD1">
                      <w:pPr>
                        <w:spacing w:afterLines="50" w:after="120"/>
                        <w:ind w:left="420" w:hanging="420"/>
                      </w:pPr>
                    </w:p>
                    <w:p w14:paraId="0A5CD8B6" w14:textId="77777777" w:rsidR="00897EE3" w:rsidRDefault="00897EE3" w:rsidP="00CF7FD1">
                      <w:pPr>
                        <w:numPr>
                          <w:ilvl w:val="0"/>
                          <w:numId w:val="7"/>
                        </w:numPr>
                        <w:spacing w:afterLines="50" w:after="120"/>
                        <w:rPr>
                          <w:lang w:val="en-US" w:eastAsia="zh-CN"/>
                        </w:rPr>
                      </w:pPr>
                      <w:r>
                        <w:rPr>
                          <w:lang w:val="en-US" w:eastAsia="zh-CN"/>
                        </w:rPr>
                        <w:t>Extend the RRM/demodulation enhancement to CA in release 14 HST scenario [</w:t>
                      </w:r>
                      <w:r w:rsidRPr="00A851C7">
                        <w:rPr>
                          <w:highlight w:val="green"/>
                          <w:lang w:val="en-US" w:eastAsia="zh-CN"/>
                        </w:rPr>
                        <w:t>RAN4</w:t>
                      </w:r>
                      <w:r>
                        <w:rPr>
                          <w:lang w:val="en-US" w:eastAsia="zh-CN"/>
                        </w:rPr>
                        <w:t>/RAN2]</w:t>
                      </w:r>
                    </w:p>
                    <w:p w14:paraId="26F2727E" w14:textId="77777777" w:rsidR="00897EE3" w:rsidRPr="004048F8" w:rsidRDefault="00897EE3" w:rsidP="00CF7FD1">
                      <w:pPr>
                        <w:numPr>
                          <w:ilvl w:val="1"/>
                          <w:numId w:val="7"/>
                        </w:numPr>
                        <w:spacing w:afterLines="50" w:after="120"/>
                        <w:rPr>
                          <w:lang w:val="en-US" w:eastAsia="zh-CN"/>
                        </w:rPr>
                      </w:pPr>
                      <w:r>
                        <w:rPr>
                          <w:lang w:val="en-US" w:eastAsia="zh-CN"/>
                        </w:rPr>
                        <w:t xml:space="preserve">At least, extend Rel-14 RRM/demodulation enhancement to CA case </w:t>
                      </w:r>
                    </w:p>
                    <w:p w14:paraId="5EBCA1F1" w14:textId="77777777" w:rsidR="00897EE3" w:rsidRDefault="00897EE3" w:rsidP="00CF7FD1">
                      <w:pPr>
                        <w:numPr>
                          <w:ilvl w:val="0"/>
                          <w:numId w:val="7"/>
                        </w:numPr>
                        <w:spacing w:afterLines="50" w:after="120"/>
                        <w:rPr>
                          <w:lang w:val="en-US" w:eastAsia="zh-CN"/>
                        </w:rPr>
                      </w:pPr>
                      <w:r>
                        <w:rPr>
                          <w:lang w:val="en-US" w:eastAsia="zh-CN"/>
                        </w:rPr>
                        <w:t>The following new scenario are considered for non-CA case [</w:t>
                      </w:r>
                      <w:r w:rsidRPr="00A851C7">
                        <w:rPr>
                          <w:highlight w:val="green"/>
                          <w:lang w:val="en-US" w:eastAsia="zh-CN"/>
                        </w:rPr>
                        <w:t>RAN4</w:t>
                      </w:r>
                      <w:r>
                        <w:rPr>
                          <w:lang w:val="en-US" w:eastAsia="zh-CN"/>
                        </w:rPr>
                        <w:t>]</w:t>
                      </w:r>
                    </w:p>
                    <w:p w14:paraId="059D81F5" w14:textId="77777777" w:rsidR="00897EE3" w:rsidRPr="00C25160" w:rsidRDefault="00897EE3" w:rsidP="00CF7FD1">
                      <w:pPr>
                        <w:numPr>
                          <w:ilvl w:val="1"/>
                          <w:numId w:val="7"/>
                        </w:numPr>
                        <w:spacing w:afterLines="50" w:after="120"/>
                        <w:rPr>
                          <w:lang w:val="en-US" w:eastAsia="zh-CN"/>
                        </w:rPr>
                      </w:pPr>
                      <w:r>
                        <w:rPr>
                          <w:lang w:val="en-US" w:eastAsia="zh-CN"/>
                        </w:rPr>
                        <w:t>The target speed is 500km/h (2.8 GHz)</w:t>
                      </w:r>
                    </w:p>
                    <w:p w14:paraId="068F3A99" w14:textId="546481F8" w:rsidR="00897EE3" w:rsidRDefault="00897EE3" w:rsidP="00CF7FD1">
                      <w:pPr>
                        <w:numPr>
                          <w:ilvl w:val="1"/>
                          <w:numId w:val="7"/>
                        </w:numPr>
                        <w:spacing w:afterLines="50" w:after="120"/>
                        <w:rPr>
                          <w:lang w:val="en-US" w:eastAsia="zh-CN"/>
                        </w:rPr>
                      </w:pPr>
                      <w:r>
                        <w:rPr>
                          <w:lang w:val="en-US" w:eastAsia="zh-CN"/>
                        </w:rPr>
                        <w:t xml:space="preserve">SFN scenario defined in TS36.101 and TR36.878 with bidirectional coverage for tunnel and open space </w:t>
                      </w:r>
                    </w:p>
                    <w:p w14:paraId="1CB7D0B9" w14:textId="77777777" w:rsidR="00897EE3" w:rsidRDefault="00897EE3" w:rsidP="00CF7FD1">
                      <w:pPr>
                        <w:numPr>
                          <w:ilvl w:val="1"/>
                          <w:numId w:val="7"/>
                        </w:numPr>
                        <w:spacing w:afterLines="50" w:after="120"/>
                        <w:rPr>
                          <w:lang w:val="en-US" w:eastAsia="zh-CN"/>
                        </w:rPr>
                      </w:pPr>
                      <w:r>
                        <w:rPr>
                          <w:lang w:val="en-US" w:eastAsia="zh-CN"/>
                        </w:rPr>
                        <w:t>SFN scenario defined in TS36.878 with unidirectional coverage for tunnel and open space</w:t>
                      </w:r>
                    </w:p>
                    <w:p w14:paraId="52CF1B8D" w14:textId="77777777" w:rsidR="00897EE3" w:rsidRDefault="00897EE3" w:rsidP="00CF7FD1">
                      <w:pPr>
                        <w:numPr>
                          <w:ilvl w:val="2"/>
                          <w:numId w:val="7"/>
                        </w:numPr>
                        <w:spacing w:afterLines="50" w:after="120"/>
                        <w:rPr>
                          <w:lang w:val="en-US" w:eastAsia="zh-CN"/>
                        </w:rPr>
                      </w:pPr>
                      <w:r>
                        <w:rPr>
                          <w:lang w:val="en-US" w:eastAsia="zh-CN"/>
                        </w:rPr>
                        <w:t xml:space="preserve">More discussion on how to specify the general unidirectional antenna pattern </w:t>
                      </w:r>
                    </w:p>
                    <w:p w14:paraId="329CE665" w14:textId="77777777" w:rsidR="00897EE3" w:rsidRPr="00022003" w:rsidRDefault="00897EE3" w:rsidP="00CF7FD1">
                      <w:pPr>
                        <w:numPr>
                          <w:ilvl w:val="1"/>
                          <w:numId w:val="7"/>
                        </w:numPr>
                        <w:rPr>
                          <w:lang w:val="en-US" w:eastAsia="zh-CN"/>
                        </w:rPr>
                      </w:pPr>
                      <w:r>
                        <w:rPr>
                          <w:lang w:val="en-US" w:eastAsia="zh-CN"/>
                        </w:rPr>
                        <w:t>In addition to SFN scenarios, other deployment scenarios are not precluded</w:t>
                      </w:r>
                    </w:p>
                    <w:p w14:paraId="483F6E95" w14:textId="77777777" w:rsidR="00897EE3" w:rsidRDefault="00897EE3" w:rsidP="00CF7FD1">
                      <w:pPr>
                        <w:numPr>
                          <w:ilvl w:val="0"/>
                          <w:numId w:val="7"/>
                        </w:numPr>
                        <w:spacing w:afterLines="50" w:after="120"/>
                        <w:rPr>
                          <w:lang w:val="en-US" w:eastAsia="zh-CN"/>
                        </w:rPr>
                      </w:pPr>
                      <w:r>
                        <w:rPr>
                          <w:lang w:val="en-US" w:eastAsia="zh-CN"/>
                        </w:rPr>
                        <w:t xml:space="preserve">Evaluate the downlink and uplink demodulation performance under the above scenarios, using the existing LTE CRS/DMRS, and study possible </w:t>
                      </w:r>
                      <w:r w:rsidRPr="00FA3E88">
                        <w:rPr>
                          <w:lang w:val="en-US" w:eastAsia="zh-CN"/>
                        </w:rPr>
                        <w:t>enhance</w:t>
                      </w:r>
                      <w:r w:rsidRPr="003B7E0A">
                        <w:rPr>
                          <w:lang w:val="en-US" w:eastAsia="zh-CN"/>
                        </w:rPr>
                        <w:t>ment</w:t>
                      </w:r>
                      <w:r>
                        <w:rPr>
                          <w:lang w:val="en-US" w:eastAsia="zh-CN"/>
                        </w:rPr>
                        <w:t>s</w:t>
                      </w:r>
                      <w:r w:rsidRPr="00FA3E88">
                        <w:rPr>
                          <w:lang w:val="en-US" w:eastAsia="zh-CN"/>
                        </w:rPr>
                        <w:t xml:space="preserve"> </w:t>
                      </w:r>
                      <w:r w:rsidRPr="003B7E0A">
                        <w:rPr>
                          <w:lang w:val="en-US" w:eastAsia="zh-CN"/>
                        </w:rPr>
                        <w:t>of t</w:t>
                      </w:r>
                      <w:r w:rsidRPr="00FA3E88">
                        <w:rPr>
                          <w:lang w:val="en-US" w:eastAsia="zh-CN"/>
                        </w:rPr>
                        <w:t>he downlink and uplink demodulation under those scenarios</w:t>
                      </w:r>
                      <w:r>
                        <w:rPr>
                          <w:lang w:val="en-US" w:eastAsia="zh-CN"/>
                        </w:rPr>
                        <w:t>, aiming to provide inputs to RAN2 if needed [</w:t>
                      </w:r>
                      <w:r w:rsidRPr="00A851C7">
                        <w:rPr>
                          <w:highlight w:val="green"/>
                          <w:lang w:val="en-US" w:eastAsia="zh-CN"/>
                        </w:rPr>
                        <w:t>RAN4</w:t>
                      </w:r>
                      <w:r>
                        <w:rPr>
                          <w:lang w:val="en-US" w:eastAsia="zh-CN"/>
                        </w:rPr>
                        <w:t xml:space="preserve">] </w:t>
                      </w:r>
                    </w:p>
                    <w:p w14:paraId="44822551" w14:textId="77777777" w:rsidR="00897EE3" w:rsidRDefault="00897EE3" w:rsidP="00CF7FD1">
                      <w:pPr>
                        <w:numPr>
                          <w:ilvl w:val="1"/>
                          <w:numId w:val="7"/>
                        </w:numPr>
                        <w:spacing w:afterLines="50" w:after="120"/>
                        <w:rPr>
                          <w:lang w:val="en-US" w:eastAsia="zh-CN"/>
                        </w:rPr>
                      </w:pPr>
                      <w:r>
                        <w:rPr>
                          <w:lang w:val="en-US" w:eastAsia="zh-CN"/>
                        </w:rPr>
                        <w:t>New or modified physical layer reference signals shall not be considered</w:t>
                      </w:r>
                    </w:p>
                    <w:p w14:paraId="4FDE7070" w14:textId="77777777" w:rsidR="00897EE3" w:rsidRPr="008B5D3D" w:rsidRDefault="00897EE3" w:rsidP="00CF7FD1">
                      <w:pPr>
                        <w:numPr>
                          <w:ilvl w:val="1"/>
                          <w:numId w:val="7"/>
                        </w:numPr>
                        <w:spacing w:afterLines="50" w:after="120"/>
                        <w:rPr>
                          <w:lang w:val="en-US" w:eastAsia="zh-CN"/>
                        </w:rPr>
                      </w:pPr>
                      <w:r>
                        <w:rPr>
                          <w:lang w:val="en-US" w:eastAsia="zh-CN"/>
                        </w:rPr>
                        <w:t xml:space="preserve">Change for PRACH shall not be considered </w:t>
                      </w:r>
                    </w:p>
                    <w:p w14:paraId="238C54A0" w14:textId="77777777" w:rsidR="00897EE3" w:rsidRDefault="00897EE3" w:rsidP="00CF7FD1">
                      <w:pPr>
                        <w:numPr>
                          <w:ilvl w:val="1"/>
                          <w:numId w:val="7"/>
                        </w:numPr>
                        <w:spacing w:afterLines="50" w:after="120"/>
                        <w:rPr>
                          <w:lang w:val="en-US" w:eastAsia="zh-CN"/>
                        </w:rPr>
                      </w:pPr>
                      <w:r>
                        <w:rPr>
                          <w:lang w:val="en-US" w:eastAsia="zh-CN"/>
                        </w:rPr>
                        <w:t>T</w:t>
                      </w:r>
                      <w:r w:rsidRPr="009928BB">
                        <w:rPr>
                          <w:lang w:val="en-US" w:eastAsia="zh-CN"/>
                        </w:rPr>
                        <w:t xml:space="preserve">he maximum Doppler shift </w:t>
                      </w:r>
                      <w:r>
                        <w:rPr>
                          <w:lang w:val="en-US" w:eastAsia="zh-CN"/>
                        </w:rPr>
                        <w:t>supported by</w:t>
                      </w:r>
                      <w:r w:rsidRPr="009928BB">
                        <w:rPr>
                          <w:lang w:val="en-US" w:eastAsia="zh-CN"/>
                        </w:rPr>
                        <w:t xml:space="preserve"> the LTE CRS/DMRS transmission schemes</w:t>
                      </w:r>
                      <w:r>
                        <w:rPr>
                          <w:lang w:val="en-US" w:eastAsia="zh-CN"/>
                        </w:rPr>
                        <w:t xml:space="preserve"> is to be determined by RAN4</w:t>
                      </w:r>
                    </w:p>
                    <w:p w14:paraId="5E8951D9" w14:textId="77777777" w:rsidR="00897EE3" w:rsidRDefault="00897EE3" w:rsidP="00CF7FD1">
                      <w:pPr>
                        <w:numPr>
                          <w:ilvl w:val="1"/>
                          <w:numId w:val="7"/>
                        </w:numPr>
                        <w:spacing w:afterLines="50" w:after="120"/>
                        <w:rPr>
                          <w:lang w:val="en-US" w:eastAsia="zh-CN"/>
                        </w:rPr>
                      </w:pPr>
                      <w:r>
                        <w:rPr>
                          <w:lang w:val="en-US" w:eastAsia="zh-CN"/>
                        </w:rPr>
                        <w:t>If RAN4 identifies the necessity for enhancements, define relevant signaling support [</w:t>
                      </w:r>
                      <w:r w:rsidRPr="002654FA">
                        <w:rPr>
                          <w:highlight w:val="green"/>
                          <w:lang w:val="en-US" w:eastAsia="zh-CN"/>
                        </w:rPr>
                        <w:t>RAN4</w:t>
                      </w:r>
                      <w:r>
                        <w:rPr>
                          <w:lang w:val="en-US" w:eastAsia="zh-CN"/>
                        </w:rPr>
                        <w:t>/RAN2]</w:t>
                      </w:r>
                    </w:p>
                    <w:p w14:paraId="5515CA2C" w14:textId="77777777" w:rsidR="00897EE3" w:rsidRDefault="00897EE3" w:rsidP="00CF7FD1">
                      <w:pPr>
                        <w:numPr>
                          <w:ilvl w:val="0"/>
                          <w:numId w:val="7"/>
                        </w:numPr>
                        <w:spacing w:afterLines="50" w:after="120"/>
                        <w:rPr>
                          <w:lang w:val="en-US" w:eastAsia="zh-CN"/>
                        </w:rPr>
                      </w:pPr>
                      <w:r>
                        <w:rPr>
                          <w:lang w:val="en-US" w:eastAsia="zh-CN"/>
                        </w:rPr>
                        <w:t xml:space="preserve">Investigate the RRM measurement performance </w:t>
                      </w:r>
                      <w:r w:rsidRPr="004F45CA">
                        <w:rPr>
                          <w:lang w:val="en-US" w:eastAsia="zh-CN"/>
                        </w:rPr>
                        <w:t xml:space="preserve">in the </w:t>
                      </w:r>
                      <w:proofErr w:type="gramStart"/>
                      <w:r w:rsidRPr="004F45CA">
                        <w:rPr>
                          <w:lang w:val="en-US" w:eastAsia="zh-CN"/>
                        </w:rPr>
                        <w:t>high speed</w:t>
                      </w:r>
                      <w:proofErr w:type="gramEnd"/>
                      <w:r w:rsidRPr="004F45CA">
                        <w:rPr>
                          <w:lang w:val="en-US" w:eastAsia="zh-CN"/>
                        </w:rPr>
                        <w:t xml:space="preserve"> scenario</w:t>
                      </w:r>
                      <w:r>
                        <w:rPr>
                          <w:lang w:val="en-US" w:eastAsia="zh-CN"/>
                        </w:rPr>
                        <w:t xml:space="preserve"> [</w:t>
                      </w:r>
                      <w:r w:rsidRPr="002654FA">
                        <w:rPr>
                          <w:highlight w:val="green"/>
                          <w:lang w:val="en-US" w:eastAsia="zh-CN"/>
                        </w:rPr>
                        <w:t>RAN4</w:t>
                      </w:r>
                      <w:r>
                        <w:rPr>
                          <w:lang w:val="en-US" w:eastAsia="zh-CN"/>
                        </w:rPr>
                        <w:t>]</w:t>
                      </w:r>
                    </w:p>
                    <w:p w14:paraId="54A5E2B5" w14:textId="77777777" w:rsidR="00897EE3" w:rsidRDefault="00897EE3" w:rsidP="00CF7FD1">
                      <w:pPr>
                        <w:numPr>
                          <w:ilvl w:val="1"/>
                          <w:numId w:val="7"/>
                        </w:numPr>
                        <w:spacing w:afterLines="50" w:after="120"/>
                        <w:rPr>
                          <w:lang w:val="en-US" w:eastAsia="zh-CN"/>
                        </w:rPr>
                      </w:pPr>
                      <w:r>
                        <w:rPr>
                          <w:lang w:val="en-US" w:eastAsia="zh-CN"/>
                        </w:rPr>
                        <w:t>If RAN4 identifies the necessity for enhancements, define relevant signaling support [RAN4/RAN2]</w:t>
                      </w:r>
                    </w:p>
                    <w:p w14:paraId="7AF71816" w14:textId="77777777" w:rsidR="00897EE3" w:rsidRDefault="00897EE3" w:rsidP="00CF7FD1">
                      <w:pPr>
                        <w:numPr>
                          <w:ilvl w:val="0"/>
                          <w:numId w:val="7"/>
                        </w:numPr>
                        <w:spacing w:afterLines="50" w:after="120"/>
                        <w:rPr>
                          <w:lang w:val="en-US" w:eastAsia="zh-CN"/>
                        </w:rPr>
                      </w:pPr>
                      <w:r>
                        <w:rPr>
                          <w:lang w:val="en-US" w:eastAsia="zh-CN"/>
                        </w:rPr>
                        <w:t xml:space="preserve">Investigate </w:t>
                      </w:r>
                      <w:r w:rsidRPr="004F45CA">
                        <w:rPr>
                          <w:lang w:val="en-US" w:eastAsia="zh-CN"/>
                        </w:rPr>
                        <w:t xml:space="preserve">the robustness for RLM in the </w:t>
                      </w:r>
                      <w:proofErr w:type="gramStart"/>
                      <w:r w:rsidRPr="004F45CA">
                        <w:rPr>
                          <w:lang w:val="en-US" w:eastAsia="zh-CN"/>
                        </w:rPr>
                        <w:t>high speed</w:t>
                      </w:r>
                      <w:proofErr w:type="gramEnd"/>
                      <w:r w:rsidRPr="004F45CA">
                        <w:rPr>
                          <w:lang w:val="en-US" w:eastAsia="zh-CN"/>
                        </w:rPr>
                        <w:t xml:space="preserve"> scenario</w:t>
                      </w:r>
                      <w:r>
                        <w:rPr>
                          <w:lang w:val="en-US" w:eastAsia="zh-CN"/>
                        </w:rPr>
                        <w:t xml:space="preserve"> [</w:t>
                      </w:r>
                      <w:r w:rsidRPr="002654FA">
                        <w:rPr>
                          <w:highlight w:val="green"/>
                          <w:lang w:val="en-US" w:eastAsia="zh-CN"/>
                        </w:rPr>
                        <w:t>RAN4</w:t>
                      </w:r>
                      <w:r>
                        <w:rPr>
                          <w:lang w:val="en-US" w:eastAsia="zh-CN"/>
                        </w:rPr>
                        <w:t>]</w:t>
                      </w:r>
                    </w:p>
                    <w:p w14:paraId="7463F821" w14:textId="77777777" w:rsidR="00897EE3" w:rsidRDefault="00897EE3" w:rsidP="00CF7FD1">
                      <w:pPr>
                        <w:numPr>
                          <w:ilvl w:val="1"/>
                          <w:numId w:val="7"/>
                        </w:numPr>
                        <w:spacing w:afterLines="50" w:after="120"/>
                        <w:rPr>
                          <w:lang w:val="en-US" w:eastAsia="zh-CN"/>
                        </w:rPr>
                      </w:pPr>
                      <w:r w:rsidRPr="002C6D7A">
                        <w:rPr>
                          <w:rFonts w:hint="eastAsia"/>
                        </w:rPr>
                        <w:t xml:space="preserve"> </w:t>
                      </w:r>
                      <w:r>
                        <w:rPr>
                          <w:lang w:val="en-US" w:eastAsia="zh-CN"/>
                        </w:rPr>
                        <w:t>If RAN4 identifies the necessity for enhancements, define relevant signaling support [RAN4/RAN2]</w:t>
                      </w:r>
                    </w:p>
                    <w:p w14:paraId="2EDAD8B1" w14:textId="77777777" w:rsidR="00897EE3" w:rsidRDefault="00897EE3" w:rsidP="00897EE3">
                      <w:pPr>
                        <w:spacing w:afterLines="50" w:after="120"/>
                        <w:ind w:left="840"/>
                        <w:rPr>
                          <w:lang w:val="en-US" w:eastAsia="zh-CN"/>
                        </w:rPr>
                      </w:pPr>
                    </w:p>
                    <w:p w14:paraId="3560F10B" w14:textId="77777777" w:rsidR="00E411D4" w:rsidRPr="00E7044A" w:rsidRDefault="00E411D4" w:rsidP="00E7044A">
                      <w:pPr>
                        <w:rPr>
                          <w:sz w:val="18"/>
                          <w:szCs w:val="18"/>
                          <w:lang w:val="en-US"/>
                        </w:rPr>
                      </w:pPr>
                    </w:p>
                  </w:txbxContent>
                </v:textbox>
                <w10:anchorlock/>
              </v:shape>
            </w:pict>
          </mc:Fallback>
        </mc:AlternateContent>
      </w:r>
    </w:p>
    <w:p w14:paraId="4A0ACBD7" w14:textId="5B2652EF" w:rsidR="00E7044A" w:rsidRPr="00080501" w:rsidRDefault="002654FA" w:rsidP="00E7044A">
      <w:pPr>
        <w:rPr>
          <w:lang w:val="en-US"/>
        </w:rPr>
      </w:pPr>
      <w:r>
        <w:rPr>
          <w:lang w:val="en-US"/>
        </w:rPr>
        <w:t xml:space="preserve">In this paper, we present high-level discussions on the above topics supported by some preliminary simulation results. </w:t>
      </w:r>
    </w:p>
    <w:p w14:paraId="7F61D28C" w14:textId="0E409242" w:rsidR="007B212E" w:rsidRDefault="004E3E6A" w:rsidP="00897EE3">
      <w:pPr>
        <w:pStyle w:val="Heading1"/>
        <w:rPr>
          <w:lang w:val="en-US"/>
        </w:rPr>
      </w:pPr>
      <w:r>
        <w:rPr>
          <w:lang w:val="en-US"/>
        </w:rPr>
        <w:lastRenderedPageBreak/>
        <w:t>D</w:t>
      </w:r>
      <w:r w:rsidR="00FE6F51">
        <w:rPr>
          <w:lang w:val="en-US"/>
        </w:rPr>
        <w:t>iscussion</w:t>
      </w:r>
    </w:p>
    <w:p w14:paraId="5E37A5F2" w14:textId="3CA01A45" w:rsidR="00FE6F51" w:rsidRDefault="00655C79" w:rsidP="00FE6F51">
      <w:pPr>
        <w:rPr>
          <w:b/>
          <w:i/>
          <w:sz w:val="22"/>
          <w:lang w:val="en-US"/>
        </w:rPr>
      </w:pPr>
      <w:r>
        <w:rPr>
          <w:b/>
          <w:i/>
          <w:sz w:val="22"/>
          <w:lang w:val="en-US"/>
        </w:rPr>
        <w:t>Extending R14 HST RRM/Demodulation requirements to CA:</w:t>
      </w:r>
    </w:p>
    <w:p w14:paraId="651C980A" w14:textId="08BF264C" w:rsidR="00655C79" w:rsidRDefault="00655C79" w:rsidP="00655C79">
      <w:pPr>
        <w:rPr>
          <w:lang w:val="en-US"/>
        </w:rPr>
      </w:pPr>
      <w:r>
        <w:rPr>
          <w:lang w:val="en-US"/>
        </w:rPr>
        <w:t xml:space="preserve">R14 defined RRM/Demodulation requirements for HST in single CC only. With the proliferation of carrier aggregation deployments, it is logical to extend some of the requirements to CA scenarios. </w:t>
      </w:r>
      <w:proofErr w:type="gramStart"/>
      <w:r>
        <w:rPr>
          <w:lang w:val="en-US"/>
        </w:rPr>
        <w:t>In particular</w:t>
      </w:r>
      <w:r w:rsidR="000E5257">
        <w:rPr>
          <w:lang w:val="en-US"/>
        </w:rPr>
        <w:t>,</w:t>
      </w:r>
      <w:r>
        <w:rPr>
          <w:lang w:val="en-US"/>
        </w:rPr>
        <w:t xml:space="preserve"> there</w:t>
      </w:r>
      <w:proofErr w:type="gramEnd"/>
      <w:r>
        <w:rPr>
          <w:lang w:val="en-US"/>
        </w:rPr>
        <w:t xml:space="preserve"> is no reason to limit the demodulation performance requirements to single CC. We believe these can readily be extended to CA scenarios.</w:t>
      </w:r>
    </w:p>
    <w:p w14:paraId="40F90D6E" w14:textId="77777777" w:rsidR="00655C79" w:rsidRPr="00C41C14" w:rsidRDefault="00655C79" w:rsidP="00655C79">
      <w:pPr>
        <w:rPr>
          <w:b/>
          <w:lang w:val="en-US"/>
        </w:rPr>
      </w:pPr>
      <w:r w:rsidRPr="00C41C14">
        <w:rPr>
          <w:b/>
          <w:lang w:val="en-US"/>
        </w:rPr>
        <w:t>Proposal 1. Extend the R14 HST demodulation requirements to CA scenarios.</w:t>
      </w:r>
    </w:p>
    <w:p w14:paraId="09F9AE1B" w14:textId="1679C18D" w:rsidR="009A751A" w:rsidRDefault="009A751A" w:rsidP="00655C79">
      <w:pPr>
        <w:rPr>
          <w:lang w:val="en-US"/>
        </w:rPr>
      </w:pPr>
      <w:r>
        <w:rPr>
          <w:lang w:val="en-US"/>
        </w:rPr>
        <w:t>Extending R14 RRM requirements for HST to CA mode needs some consideration though. R14 HST RRM requirements include [2]:</w:t>
      </w:r>
    </w:p>
    <w:p w14:paraId="38C80A4C" w14:textId="3191235D" w:rsidR="00655C79" w:rsidRPr="009A751A" w:rsidRDefault="009A751A" w:rsidP="00CF7FD1">
      <w:pPr>
        <w:pStyle w:val="ListParagraph"/>
        <w:numPr>
          <w:ilvl w:val="0"/>
          <w:numId w:val="8"/>
        </w:numPr>
        <w:rPr>
          <w:sz w:val="20"/>
        </w:rPr>
      </w:pPr>
      <w:r w:rsidRPr="009A751A">
        <w:rPr>
          <w:sz w:val="20"/>
        </w:rPr>
        <w:t xml:space="preserve">Measurements of intra-frequency cells in RRC_IDLE per Section 4.2.2.3: with </w:t>
      </w:r>
      <w:proofErr w:type="spellStart"/>
      <w:r w:rsidRPr="009A751A">
        <w:rPr>
          <w:i/>
          <w:sz w:val="20"/>
        </w:rPr>
        <w:t>highSpeedEnhancedMeasFlag</w:t>
      </w:r>
      <w:proofErr w:type="spellEnd"/>
      <w:r w:rsidRPr="009A751A">
        <w:rPr>
          <w:sz w:val="20"/>
        </w:rPr>
        <w:t xml:space="preserve">, measurement intervals for DRX cycles less than 2.56s are shortened. </w:t>
      </w:r>
    </w:p>
    <w:p w14:paraId="2CF4742D" w14:textId="39199B85" w:rsidR="009A751A" w:rsidRPr="009A751A" w:rsidRDefault="009A751A" w:rsidP="00CF7FD1">
      <w:pPr>
        <w:pStyle w:val="ListParagraph"/>
        <w:numPr>
          <w:ilvl w:val="0"/>
          <w:numId w:val="8"/>
        </w:numPr>
        <w:rPr>
          <w:sz w:val="20"/>
        </w:rPr>
      </w:pPr>
      <w:r w:rsidRPr="009A751A">
        <w:rPr>
          <w:sz w:val="20"/>
        </w:rPr>
        <w:t xml:space="preserve">Measurements of intra-frequency cells in RRC_CONNECTED per Section 8.1.2.2: with </w:t>
      </w:r>
      <w:proofErr w:type="spellStart"/>
      <w:r w:rsidRPr="009A751A">
        <w:rPr>
          <w:i/>
          <w:sz w:val="20"/>
        </w:rPr>
        <w:t>highSpeedEnhancedMeasFlag</w:t>
      </w:r>
      <w:proofErr w:type="spellEnd"/>
      <w:r w:rsidRPr="009A751A">
        <w:rPr>
          <w:sz w:val="20"/>
        </w:rPr>
        <w:t xml:space="preserve">, measurement intervals for DRX cycles less than 2.56s are shortened. </w:t>
      </w:r>
    </w:p>
    <w:p w14:paraId="7CFBB688" w14:textId="21FAAC0F" w:rsidR="009A751A" w:rsidRDefault="009A751A" w:rsidP="00CF7FD1">
      <w:pPr>
        <w:pStyle w:val="ListParagraph"/>
        <w:numPr>
          <w:ilvl w:val="0"/>
          <w:numId w:val="8"/>
        </w:numPr>
        <w:rPr>
          <w:sz w:val="20"/>
        </w:rPr>
      </w:pPr>
      <w:r w:rsidRPr="009A751A">
        <w:rPr>
          <w:sz w:val="20"/>
        </w:rPr>
        <w:t xml:space="preserve">RSRP and RSRQ intra-frequency accuracy requirements with </w:t>
      </w:r>
      <w:proofErr w:type="spellStart"/>
      <w:r w:rsidRPr="009A751A">
        <w:rPr>
          <w:i/>
          <w:sz w:val="20"/>
        </w:rPr>
        <w:t>highSpeedEnhancedMeasFlag</w:t>
      </w:r>
      <w:proofErr w:type="spellEnd"/>
      <w:r w:rsidRPr="009A751A">
        <w:rPr>
          <w:sz w:val="20"/>
        </w:rPr>
        <w:t xml:space="preserve"> per Section 9.1.2A and 9.1.5A, respectively.</w:t>
      </w:r>
    </w:p>
    <w:p w14:paraId="28A77778" w14:textId="698C2163" w:rsidR="0047078C" w:rsidRPr="0047078C" w:rsidRDefault="0047078C" w:rsidP="00CF7FD1">
      <w:pPr>
        <w:pStyle w:val="ListParagraph"/>
        <w:numPr>
          <w:ilvl w:val="0"/>
          <w:numId w:val="8"/>
        </w:numPr>
        <w:rPr>
          <w:sz w:val="20"/>
        </w:rPr>
      </w:pPr>
      <w:r w:rsidRPr="009A751A">
        <w:rPr>
          <w:sz w:val="20"/>
        </w:rPr>
        <w:t>RSRP and RSRQ int</w:t>
      </w:r>
      <w:r>
        <w:rPr>
          <w:sz w:val="20"/>
        </w:rPr>
        <w:t>er</w:t>
      </w:r>
      <w:r w:rsidRPr="009A751A">
        <w:rPr>
          <w:sz w:val="20"/>
        </w:rPr>
        <w:t xml:space="preserve">-frequency accuracy requirements with </w:t>
      </w:r>
      <w:proofErr w:type="spellStart"/>
      <w:r w:rsidRPr="009A751A">
        <w:rPr>
          <w:i/>
          <w:sz w:val="20"/>
        </w:rPr>
        <w:t>highSpeedEnhancedMeasFlag</w:t>
      </w:r>
      <w:proofErr w:type="spellEnd"/>
      <w:r w:rsidRPr="009A751A">
        <w:rPr>
          <w:sz w:val="20"/>
        </w:rPr>
        <w:t xml:space="preserve"> per Section 9.1.</w:t>
      </w:r>
      <w:r>
        <w:rPr>
          <w:sz w:val="20"/>
        </w:rPr>
        <w:t>3</w:t>
      </w:r>
      <w:r w:rsidRPr="009A751A">
        <w:rPr>
          <w:sz w:val="20"/>
        </w:rPr>
        <w:t>A and 9.1.</w:t>
      </w:r>
      <w:r>
        <w:rPr>
          <w:sz w:val="20"/>
        </w:rPr>
        <w:t>6</w:t>
      </w:r>
      <w:r w:rsidRPr="009A751A">
        <w:rPr>
          <w:sz w:val="20"/>
        </w:rPr>
        <w:t>A, respectively.</w:t>
      </w:r>
    </w:p>
    <w:p w14:paraId="1709ADFC" w14:textId="46EF2D19" w:rsidR="009A751A" w:rsidRDefault="009A751A" w:rsidP="009A751A"/>
    <w:p w14:paraId="66534C48" w14:textId="1CA8DAC8" w:rsidR="00880EA4" w:rsidRDefault="009A751A" w:rsidP="009A751A">
      <w:r>
        <w:t xml:space="preserve">In the above list, the first item cannot be extended to CA </w:t>
      </w:r>
      <w:r w:rsidR="0047078C">
        <w:t xml:space="preserve">due to its applicability in RRC_IDLE state. </w:t>
      </w:r>
      <w:r w:rsidR="00880EA4">
        <w:t>The measurement requirements for CA are specified in Section 8.3 and currently explicitly indicates that HST requirements are only applicable to PCC. The non-HST CA requirements in Section 8.3.3.2 with common DRX are the same as those in single-carrier scenario in Section 8.1.2.2 in terms of time-to-identify and time-to-measure. Hence, the same adjustment that was made in HST mode in Section 8.1.2.2 can be considered for CA requirements in Section 8.3.3.2.</w:t>
      </w:r>
      <w:r w:rsidR="00B5004F">
        <w:t xml:space="preserve"> However, some considerations to power-saving </w:t>
      </w:r>
      <w:proofErr w:type="spellStart"/>
      <w:r w:rsidR="00B5004F">
        <w:t>tradeoff</w:t>
      </w:r>
      <w:proofErr w:type="spellEnd"/>
      <w:r w:rsidR="00B5004F">
        <w:t xml:space="preserve"> </w:t>
      </w:r>
      <w:r w:rsidR="0009532B">
        <w:t xml:space="preserve">are warranted. In HST-type homogeneous deployments where RRHs support the same frequency layers, it is potentially possible to infer measurements on SCCs based on measurements of the PCC (e.g., in HO scenario, travel direction of UE can be inferred from </w:t>
      </w:r>
      <w:proofErr w:type="spellStart"/>
      <w:r w:rsidR="0009532B">
        <w:t>PCell</w:t>
      </w:r>
      <w:proofErr w:type="spellEnd"/>
      <w:r w:rsidR="0009532B">
        <w:t xml:space="preserve"> measurement to aid with HO of </w:t>
      </w:r>
      <w:proofErr w:type="spellStart"/>
      <w:r w:rsidR="0009532B">
        <w:t>SCells</w:t>
      </w:r>
      <w:proofErr w:type="spellEnd"/>
      <w:r w:rsidR="0009532B">
        <w:t>).</w:t>
      </w:r>
    </w:p>
    <w:p w14:paraId="25BF0EFB" w14:textId="780CF028" w:rsidR="00880EA4" w:rsidRDefault="00880EA4" w:rsidP="009A751A">
      <w:pPr>
        <w:rPr>
          <w:b/>
        </w:rPr>
      </w:pPr>
      <w:r w:rsidRPr="009D060A">
        <w:rPr>
          <w:b/>
        </w:rPr>
        <w:t>Observation</w:t>
      </w:r>
      <w:r w:rsidR="00F65DC2">
        <w:rPr>
          <w:b/>
        </w:rPr>
        <w:t xml:space="preserve"> 1</w:t>
      </w:r>
      <w:r w:rsidRPr="009D060A">
        <w:rPr>
          <w:b/>
        </w:rPr>
        <w:t xml:space="preserve">. Measurement requirements in terms of time-to-identify and time-to-measure for SCCs with common DRX are the same as those for single-carrier scenario.  </w:t>
      </w:r>
    </w:p>
    <w:p w14:paraId="4DCF0B80" w14:textId="3A8DC504" w:rsidR="009D060A" w:rsidRPr="009D060A" w:rsidRDefault="009D060A" w:rsidP="009A751A">
      <w:pPr>
        <w:rPr>
          <w:b/>
        </w:rPr>
      </w:pPr>
      <w:r>
        <w:rPr>
          <w:b/>
        </w:rPr>
        <w:t>Proposal</w:t>
      </w:r>
      <w:r w:rsidR="00EA23EF">
        <w:rPr>
          <w:b/>
        </w:rPr>
        <w:t xml:space="preserve"> 2</w:t>
      </w:r>
      <w:r>
        <w:rPr>
          <w:b/>
        </w:rPr>
        <w:t xml:space="preserve">. RAN4 to consider adjusting the CA measurement requirements for shorter DRX cycles in the same manner as in Section 8.1.2.2. Power-saving </w:t>
      </w:r>
      <w:proofErr w:type="spellStart"/>
      <w:r>
        <w:rPr>
          <w:b/>
        </w:rPr>
        <w:t>tradeoff</w:t>
      </w:r>
      <w:proofErr w:type="spellEnd"/>
      <w:r>
        <w:rPr>
          <w:b/>
        </w:rPr>
        <w:t xml:space="preserve"> should also be considered.</w:t>
      </w:r>
    </w:p>
    <w:p w14:paraId="60A1FB49" w14:textId="7C79C3A3" w:rsidR="009A751A" w:rsidRDefault="00880EA4" w:rsidP="009A751A">
      <w:r>
        <w:t xml:space="preserve"> </w:t>
      </w:r>
    </w:p>
    <w:p w14:paraId="70A325B1" w14:textId="6F5D5D81" w:rsidR="00C41C14" w:rsidRDefault="00BB5BA5" w:rsidP="009A751A">
      <w:pPr>
        <w:rPr>
          <w:b/>
          <w:i/>
          <w:sz w:val="22"/>
        </w:rPr>
      </w:pPr>
      <w:r>
        <w:rPr>
          <w:b/>
          <w:i/>
          <w:sz w:val="22"/>
        </w:rPr>
        <w:t>HST coverage models:</w:t>
      </w:r>
    </w:p>
    <w:p w14:paraId="6BD9191E" w14:textId="648FDF93" w:rsidR="00BB5BA5" w:rsidRDefault="00435839" w:rsidP="009A751A">
      <w:r>
        <w:t>Two coverage models for HST operation are described in [3]:</w:t>
      </w:r>
    </w:p>
    <w:p w14:paraId="7E80FC5D" w14:textId="5CA8D4A1" w:rsidR="00435839" w:rsidRPr="00435839" w:rsidRDefault="00435839" w:rsidP="00CF7FD1">
      <w:pPr>
        <w:pStyle w:val="ListParagraph"/>
        <w:numPr>
          <w:ilvl w:val="0"/>
          <w:numId w:val="9"/>
        </w:numPr>
        <w:rPr>
          <w:sz w:val="20"/>
        </w:rPr>
      </w:pPr>
      <w:r w:rsidRPr="00435839">
        <w:rPr>
          <w:sz w:val="20"/>
        </w:rPr>
        <w:t>SFN scenario with bidirectional coverage for tunnel and open space</w:t>
      </w:r>
    </w:p>
    <w:p w14:paraId="53F1FA81" w14:textId="68A9508D" w:rsidR="00435839" w:rsidRPr="00435839" w:rsidRDefault="00435839" w:rsidP="00CF7FD1">
      <w:pPr>
        <w:pStyle w:val="ListParagraph"/>
        <w:numPr>
          <w:ilvl w:val="0"/>
          <w:numId w:val="9"/>
        </w:numPr>
        <w:rPr>
          <w:sz w:val="20"/>
        </w:rPr>
      </w:pPr>
      <w:r w:rsidRPr="00435839">
        <w:rPr>
          <w:sz w:val="20"/>
        </w:rPr>
        <w:t>SFN scenario with unidirectional coverage for tunnel and open space</w:t>
      </w:r>
    </w:p>
    <w:p w14:paraId="42842762" w14:textId="0C35AAFA" w:rsidR="00435839" w:rsidRPr="00435839" w:rsidRDefault="00435839" w:rsidP="00435839">
      <w:pPr>
        <w:rPr>
          <w:sz w:val="16"/>
        </w:rPr>
      </w:pPr>
    </w:p>
    <w:p w14:paraId="01ECFB10" w14:textId="2F7CFB0F" w:rsidR="00435839" w:rsidRDefault="00435839" w:rsidP="00435839">
      <w:r>
        <w:t xml:space="preserve">Figure 1 illustrates SFN deployment for HST operation with Remote Radio Heads (RRH). In bidirectional coverage, RRHs transmits in both left and right directions resulting in UE to be in connection with at least one departing and at least one approaching RRH. In unidirectional coverage, RRHs transmit in one direction resulting in UE to be in connection with either departing or approaching RRH(s). </w:t>
      </w:r>
    </w:p>
    <w:p w14:paraId="176BC5EE" w14:textId="77777777" w:rsidR="00435839" w:rsidRDefault="00435839" w:rsidP="00435839">
      <w:pPr>
        <w:keepNext/>
        <w:jc w:val="center"/>
      </w:pPr>
      <w:r>
        <w:rPr>
          <w:rFonts w:eastAsia="Times New Roman"/>
          <w:lang w:eastAsia="zh-CN"/>
        </w:rPr>
        <w:object w:dxaOrig="8460" w:dyaOrig="1980" w14:anchorId="2AF7D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99pt" o:ole="">
            <v:imagedata r:id="rId8" o:title=""/>
          </v:shape>
          <o:OLEObject Type="Embed" ProgID="Visio.Drawing.11" ShapeID="_x0000_i1025" DrawAspect="Content" ObjectID="_1611638214" r:id="rId9"/>
        </w:object>
      </w:r>
    </w:p>
    <w:p w14:paraId="68B8442A" w14:textId="25727202" w:rsidR="00435839" w:rsidRPr="00BB5BA5" w:rsidRDefault="00435839" w:rsidP="00435839">
      <w:pPr>
        <w:pStyle w:val="Caption"/>
        <w:jc w:val="center"/>
      </w:pPr>
      <w:r>
        <w:t xml:space="preserve">Figure </w:t>
      </w:r>
      <w:r>
        <w:fldChar w:fldCharType="begin"/>
      </w:r>
      <w:r>
        <w:instrText xml:space="preserve"> SEQ Figure \* ARABIC </w:instrText>
      </w:r>
      <w:r>
        <w:fldChar w:fldCharType="separate"/>
      </w:r>
      <w:r w:rsidR="00715866">
        <w:rPr>
          <w:noProof/>
        </w:rPr>
        <w:t>1</w:t>
      </w:r>
      <w:r>
        <w:fldChar w:fldCharType="end"/>
      </w:r>
      <w:r>
        <w:t xml:space="preserve"> Deployment of HST-SFN </w:t>
      </w:r>
    </w:p>
    <w:p w14:paraId="517B9C32" w14:textId="162E18CA" w:rsidR="00C41C14" w:rsidRDefault="00C41C14" w:rsidP="009A751A"/>
    <w:p w14:paraId="0179C9AA" w14:textId="6030C36D" w:rsidR="00F642EF" w:rsidRDefault="00F642EF" w:rsidP="009A751A">
      <w:pPr>
        <w:rPr>
          <w:rFonts w:eastAsia="Times New Roman" w:cs="Arial"/>
          <w:snapToGrid w:val="0"/>
          <w:szCs w:val="21"/>
          <w:lang w:eastAsia="ja-JP"/>
        </w:rPr>
      </w:pPr>
      <w:r>
        <w:t xml:space="preserve">In bidirectional model, UE experiences positive and negative Doppler shifts from departing and approaching RRHs. As outlined in [4], with vehicular speed of </w:t>
      </w:r>
      <w:r>
        <w:rPr>
          <w:rFonts w:eastAsia="Times New Roman" w:cs="Arial"/>
          <w:snapToGrid w:val="0"/>
          <w:position w:val="-6"/>
          <w:szCs w:val="21"/>
          <w:lang w:eastAsia="ja-JP"/>
        </w:rPr>
        <w:object w:dxaOrig="195" w:dyaOrig="225" w14:anchorId="41184578">
          <v:shape id="_x0000_i1026" type="#_x0000_t75" style="width:9.75pt;height:11.25pt" o:ole="">
            <v:imagedata r:id="rId10" o:title=""/>
          </v:shape>
          <o:OLEObject Type="Embed" ProgID="Equation.3" ShapeID="_x0000_i1026" DrawAspect="Content" ObjectID="_1611638215" r:id="rId11"/>
        </w:object>
      </w:r>
      <w:r>
        <w:rPr>
          <w:rFonts w:eastAsia="Times New Roman" w:cs="Arial"/>
          <w:snapToGrid w:val="0"/>
          <w:szCs w:val="21"/>
          <w:lang w:eastAsia="ja-JP"/>
        </w:rPr>
        <w:t xml:space="preserve">= 350 km/h for carrier frequency of 2.8 GHz, Doppler shift is  </w:t>
      </w:r>
      <w:r>
        <w:rPr>
          <w:rFonts w:eastAsia="Times New Roman" w:cs="Arial"/>
          <w:snapToGrid w:val="0"/>
          <w:position w:val="-10"/>
          <w:szCs w:val="21"/>
          <w:lang w:eastAsia="ja-JP"/>
        </w:rPr>
        <w:object w:dxaOrig="330" w:dyaOrig="345" w14:anchorId="07F90474">
          <v:shape id="_x0000_i1027" type="#_x0000_t75" style="width:16.5pt;height:17.25pt" o:ole="">
            <v:imagedata r:id="rId12" o:title=""/>
          </v:shape>
          <o:OLEObject Type="Embed" ProgID="Equation.3" ShapeID="_x0000_i1027" DrawAspect="Content" ObjectID="_1611638216" r:id="rId13"/>
        </w:object>
      </w:r>
      <w:r>
        <w:rPr>
          <w:rFonts w:eastAsia="Times New Roman" w:cs="Arial"/>
          <w:snapToGrid w:val="0"/>
          <w:szCs w:val="21"/>
          <w:lang w:eastAsia="ja-JP"/>
        </w:rPr>
        <w:t xml:space="preserve">= 872 Hz. Increasing the vehicular speed to 500 km/h results in Doppler shift of </w:t>
      </w:r>
      <w:r>
        <w:rPr>
          <w:rFonts w:eastAsia="Times New Roman" w:cs="Arial"/>
          <w:snapToGrid w:val="0"/>
          <w:position w:val="-10"/>
          <w:szCs w:val="21"/>
          <w:lang w:eastAsia="ja-JP"/>
        </w:rPr>
        <w:object w:dxaOrig="330" w:dyaOrig="345" w14:anchorId="0A3FE8B8">
          <v:shape id="_x0000_i1028" type="#_x0000_t75" style="width:16.5pt;height:17.25pt" o:ole="">
            <v:imagedata r:id="rId12" o:title=""/>
          </v:shape>
          <o:OLEObject Type="Embed" ProgID="Equation.3" ShapeID="_x0000_i1028" DrawAspect="Content" ObjectID="_1611638217" r:id="rId14"/>
        </w:object>
      </w:r>
      <w:r>
        <w:rPr>
          <w:rFonts w:eastAsia="Times New Roman" w:cs="Arial"/>
          <w:snapToGrid w:val="0"/>
          <w:szCs w:val="21"/>
          <w:lang w:eastAsia="ja-JP"/>
        </w:rPr>
        <w:t xml:space="preserve">= 1250 Hz. However, in LTE, the closest two CRS symbols are 3 symbols apart which means a two-sided Doppler shift of more than </w:t>
      </w:r>
      <w:r>
        <w:rPr>
          <w:rFonts w:eastAsia="Times New Roman" w:cs="Arial"/>
          <w:snapToGrid w:val="0"/>
          <w:position w:val="-10"/>
          <w:szCs w:val="21"/>
          <w:lang w:eastAsia="ja-JP"/>
        </w:rPr>
        <w:object w:dxaOrig="330" w:dyaOrig="345" w14:anchorId="25205CDD">
          <v:shape id="_x0000_i1029" type="#_x0000_t75" style="width:16.5pt;height:17.25pt" o:ole="">
            <v:imagedata r:id="rId12" o:title=""/>
          </v:shape>
          <o:OLEObject Type="Embed" ProgID="Equation.3" ShapeID="_x0000_i1029" DrawAspect="Content" ObjectID="_1611638218" r:id="rId15"/>
        </w:object>
      </w:r>
      <w:r>
        <w:rPr>
          <w:rFonts w:eastAsia="Times New Roman" w:cs="Arial"/>
          <w:snapToGrid w:val="0"/>
          <w:szCs w:val="21"/>
          <w:lang w:eastAsia="ja-JP"/>
        </w:rPr>
        <w:t xml:space="preserve">= 1150 Hz is not possible to track. </w:t>
      </w:r>
      <w:r w:rsidR="00007A6C">
        <w:rPr>
          <w:rFonts w:eastAsia="Times New Roman" w:cs="Arial"/>
          <w:snapToGrid w:val="0"/>
          <w:szCs w:val="21"/>
          <w:lang w:eastAsia="ja-JP"/>
        </w:rPr>
        <w:t xml:space="preserve">This was extensively discussed in R14 HST WI and requirements were derived based on max Doppler shift of 872 Hz. </w:t>
      </w:r>
      <w:r>
        <w:rPr>
          <w:rFonts w:eastAsia="Times New Roman" w:cs="Arial"/>
          <w:snapToGrid w:val="0"/>
          <w:szCs w:val="21"/>
          <w:lang w:eastAsia="ja-JP"/>
        </w:rPr>
        <w:t xml:space="preserve">In </w:t>
      </w:r>
      <w:r w:rsidR="007E1DA8">
        <w:rPr>
          <w:rFonts w:eastAsia="Times New Roman" w:cs="Arial"/>
          <w:snapToGrid w:val="0"/>
          <w:szCs w:val="21"/>
          <w:lang w:eastAsia="ja-JP"/>
        </w:rPr>
        <w:t>uni</w:t>
      </w:r>
      <w:r>
        <w:rPr>
          <w:rFonts w:eastAsia="Times New Roman" w:cs="Arial"/>
          <w:snapToGrid w:val="0"/>
          <w:szCs w:val="21"/>
          <w:lang w:eastAsia="ja-JP"/>
        </w:rPr>
        <w:t xml:space="preserve">directional model, however, Doppler shift becomes one-sided and supporting higher vehicular speeds is at least theoretically feasible. </w:t>
      </w:r>
    </w:p>
    <w:p w14:paraId="2C889721" w14:textId="62F3BFF1" w:rsidR="00007A6C" w:rsidRPr="00007A6C" w:rsidRDefault="00007A6C" w:rsidP="009A751A">
      <w:pPr>
        <w:rPr>
          <w:b/>
        </w:rPr>
      </w:pPr>
      <w:r w:rsidRPr="00007A6C">
        <w:rPr>
          <w:b/>
        </w:rPr>
        <w:t>Observation</w:t>
      </w:r>
      <w:r w:rsidR="00EA23EF">
        <w:rPr>
          <w:b/>
        </w:rPr>
        <w:t xml:space="preserve"> 2. </w:t>
      </w:r>
      <w:r w:rsidRPr="00007A6C">
        <w:rPr>
          <w:b/>
        </w:rPr>
        <w:t xml:space="preserve">With bidirectional coverage model, UE experiences two-sided Doppler shift of 1250 Hz at vehicular speed of 500 km/h with carrier frequency of 2.8 GHz which is not possible to track with LTE CRS subframe arrangement. </w:t>
      </w:r>
    </w:p>
    <w:p w14:paraId="1B240F6B" w14:textId="0EA46E10" w:rsidR="00CA60EE" w:rsidRDefault="00007A6C" w:rsidP="009A751A">
      <w:r>
        <w:t xml:space="preserve">Next, we present preliminary simulation results showing the limitation of bidirectional coverage model with higher than 350 km/h speed. </w:t>
      </w:r>
    </w:p>
    <w:p w14:paraId="574E2115" w14:textId="5C7675B5" w:rsidR="00CA60EE" w:rsidRDefault="00DE26A4" w:rsidP="009A751A">
      <w:pPr>
        <w:rPr>
          <w:b/>
          <w:i/>
          <w:sz w:val="22"/>
        </w:rPr>
      </w:pPr>
      <w:r>
        <w:rPr>
          <w:b/>
          <w:i/>
          <w:sz w:val="22"/>
        </w:rPr>
        <w:t>PDSCH performance:</w:t>
      </w:r>
    </w:p>
    <w:p w14:paraId="478E7DD1" w14:textId="252DBD03" w:rsidR="00DE26A4" w:rsidRDefault="00383F88" w:rsidP="009A751A">
      <w:r>
        <w:t xml:space="preserve">Figure 2 shows the performance of TM3 2Tx, as in Test 8.2.9.1 </w:t>
      </w:r>
      <w:r w:rsidR="00387785">
        <w:t xml:space="preserve">with genie PDCCH and </w:t>
      </w:r>
      <w:r>
        <w:t>increasing the speed. There is a significant degradation in peak throughput when speed is increased to 400 and 450 km/h. At 500 km/h, the peak throughput is less than 10% of peak throughput in 350 km/h.</w:t>
      </w:r>
    </w:p>
    <w:p w14:paraId="0A2D13B7" w14:textId="77777777" w:rsidR="00BD61F8" w:rsidRDefault="00BD61F8" w:rsidP="00BD61F8">
      <w:pPr>
        <w:keepNext/>
        <w:jc w:val="center"/>
      </w:pPr>
      <w:r>
        <w:rPr>
          <w:noProof/>
        </w:rPr>
        <w:drawing>
          <wp:inline distT="0" distB="0" distL="0" distR="0" wp14:anchorId="5C0B28DD" wp14:editId="6A6D0ABE">
            <wp:extent cx="4543425" cy="3403598"/>
            <wp:effectExtent l="0" t="0" r="0" b="0"/>
            <wp:docPr id="10" name="Picture 9">
              <a:extLst xmlns:a="http://schemas.openxmlformats.org/drawingml/2006/main">
                <a:ext uri="{FF2B5EF4-FFF2-40B4-BE49-F238E27FC236}">
                  <a16:creationId xmlns:a16="http://schemas.microsoft.com/office/drawing/2014/main" id="{D3EEB190-5C7F-495C-97B2-4FC98FA45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3EEB190-5C7F-495C-97B2-4FC98FA45C23}"/>
                        </a:ext>
                      </a:extLst>
                    </pic:cNvPr>
                    <pic:cNvPicPr>
                      <a:picLocks noChangeAspect="1"/>
                    </pic:cNvPicPr>
                  </pic:nvPicPr>
                  <pic:blipFill>
                    <a:blip r:embed="rId16"/>
                    <a:stretch>
                      <a:fillRect/>
                    </a:stretch>
                  </pic:blipFill>
                  <pic:spPr>
                    <a:xfrm>
                      <a:off x="0" y="0"/>
                      <a:ext cx="4550276" cy="3408730"/>
                    </a:xfrm>
                    <a:prstGeom prst="rect">
                      <a:avLst/>
                    </a:prstGeom>
                  </pic:spPr>
                </pic:pic>
              </a:graphicData>
            </a:graphic>
          </wp:inline>
        </w:drawing>
      </w:r>
    </w:p>
    <w:p w14:paraId="1C349F7E" w14:textId="5454DB39" w:rsidR="00383F88" w:rsidRDefault="00BD61F8" w:rsidP="00BD61F8">
      <w:pPr>
        <w:pStyle w:val="Caption"/>
        <w:jc w:val="center"/>
      </w:pPr>
      <w:r>
        <w:t xml:space="preserve">Figure </w:t>
      </w:r>
      <w:r>
        <w:fldChar w:fldCharType="begin"/>
      </w:r>
      <w:r>
        <w:instrText xml:space="preserve"> SEQ Figure \* ARABIC </w:instrText>
      </w:r>
      <w:r>
        <w:fldChar w:fldCharType="separate"/>
      </w:r>
      <w:r w:rsidR="00715866">
        <w:rPr>
          <w:noProof/>
        </w:rPr>
        <w:t>2</w:t>
      </w:r>
      <w:r>
        <w:fldChar w:fldCharType="end"/>
      </w:r>
      <w:r>
        <w:t xml:space="preserve"> PDSCH performance (TM3 2Tx) as in Test 8.2.9.1</w:t>
      </w:r>
    </w:p>
    <w:p w14:paraId="46CB90A0" w14:textId="0A78355A" w:rsidR="00383F88" w:rsidRDefault="00383F88" w:rsidP="009A751A"/>
    <w:p w14:paraId="40A36E66" w14:textId="320B8278" w:rsidR="00383F88" w:rsidRPr="00383F88" w:rsidRDefault="00383F88" w:rsidP="009A751A">
      <w:pPr>
        <w:rPr>
          <w:b/>
        </w:rPr>
      </w:pPr>
      <w:r w:rsidRPr="00383F88">
        <w:rPr>
          <w:b/>
        </w:rPr>
        <w:lastRenderedPageBreak/>
        <w:t>Observation</w:t>
      </w:r>
      <w:r w:rsidR="00EA23EF">
        <w:rPr>
          <w:b/>
        </w:rPr>
        <w:t xml:space="preserve"> 3</w:t>
      </w:r>
      <w:r w:rsidRPr="00383F88">
        <w:rPr>
          <w:b/>
        </w:rPr>
        <w:t xml:space="preserve">. Significant degradation in throughput can be seen in TM3 2Tx with increasing the speed beyond 400 km/h. At 500 km/h, the peak throughput is degraded by more than 90%. </w:t>
      </w:r>
    </w:p>
    <w:p w14:paraId="261724D0" w14:textId="72616C25" w:rsidR="00311B42" w:rsidRDefault="00383F88" w:rsidP="009A751A">
      <w:r>
        <w:t xml:space="preserve">Figure 3 shows the performance of TM3 4Tx with otherwise similar condition as in Test 8.2.9.1 as a function of speed. The motivation behind these plots is to show inferior performance of 4Tx transmission </w:t>
      </w:r>
      <w:r w:rsidR="00311B42">
        <w:t xml:space="preserve">at higher speeds. Due to farther separation of CRS symbols corresponding to Tx ports 2 and 3, frequency tracking capability of UE is degraded and hence Doppler shifts corresponding to high speeds of even R14 HST is not possible. In fact, 4Tx performance in 250 km/h is worse than 2Tx performance in 350 km/h. 2Tx performance at 300 km/h is </w:t>
      </w:r>
      <w:proofErr w:type="gramStart"/>
      <w:r w:rsidR="00311B42">
        <w:t>similar to</w:t>
      </w:r>
      <w:proofErr w:type="gramEnd"/>
      <w:r w:rsidR="00311B42">
        <w:t xml:space="preserve"> 4Tx performance in 200 km/h. </w:t>
      </w:r>
    </w:p>
    <w:p w14:paraId="2E7B8D00" w14:textId="1F245F80" w:rsidR="00BD61F8" w:rsidRDefault="000E2B1A" w:rsidP="00BD61F8">
      <w:pPr>
        <w:keepNext/>
        <w:jc w:val="center"/>
      </w:pPr>
      <w:r>
        <w:rPr>
          <w:noProof/>
        </w:rPr>
        <w:drawing>
          <wp:inline distT="0" distB="0" distL="0" distR="0" wp14:anchorId="7C21A6B5" wp14:editId="0F67A2F6">
            <wp:extent cx="4724400" cy="3545166"/>
            <wp:effectExtent l="0" t="0" r="0" b="0"/>
            <wp:docPr id="2" name="Picture 2" descr="cid:image001.png@01D4BD67.B7AE1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D67.B7AE1F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727452" cy="3547456"/>
                    </a:xfrm>
                    <a:prstGeom prst="rect">
                      <a:avLst/>
                    </a:prstGeom>
                    <a:noFill/>
                    <a:ln>
                      <a:noFill/>
                    </a:ln>
                  </pic:spPr>
                </pic:pic>
              </a:graphicData>
            </a:graphic>
          </wp:inline>
        </w:drawing>
      </w:r>
    </w:p>
    <w:p w14:paraId="588F6484" w14:textId="43B38AC1" w:rsidR="00311B42" w:rsidRDefault="00BD61F8" w:rsidP="00BD61F8">
      <w:pPr>
        <w:pStyle w:val="Caption"/>
        <w:jc w:val="center"/>
      </w:pPr>
      <w:r>
        <w:t xml:space="preserve">Figure </w:t>
      </w:r>
      <w:r>
        <w:fldChar w:fldCharType="begin"/>
      </w:r>
      <w:r>
        <w:instrText xml:space="preserve"> SEQ Figure \* ARABIC </w:instrText>
      </w:r>
      <w:r>
        <w:fldChar w:fldCharType="separate"/>
      </w:r>
      <w:r w:rsidR="00715866">
        <w:rPr>
          <w:noProof/>
        </w:rPr>
        <w:t>3</w:t>
      </w:r>
      <w:r>
        <w:fldChar w:fldCharType="end"/>
      </w:r>
      <w:r>
        <w:t xml:space="preserve">  PDSCH performance for TM3 4Tx</w:t>
      </w:r>
      <w:r w:rsidR="00DE18CF">
        <w:t xml:space="preserve"> with 2 layers</w:t>
      </w:r>
    </w:p>
    <w:p w14:paraId="5282B9D1" w14:textId="77777777" w:rsidR="00311B42" w:rsidRDefault="00311B42" w:rsidP="009A751A"/>
    <w:p w14:paraId="0D89FC3D" w14:textId="10100B00" w:rsidR="00383F88" w:rsidRDefault="00311B42" w:rsidP="009A751A">
      <w:r>
        <w:t>In R14 HST, the scope was limited to 2Tx scenarios. Since no change in physical layer is assumed for R16 HST, we see no reason to consider 4Tx transmission in R16 HST.</w:t>
      </w:r>
    </w:p>
    <w:p w14:paraId="1DC87A7A" w14:textId="0A96CEEC" w:rsidR="00311B42" w:rsidRPr="00311B42" w:rsidRDefault="00311B42" w:rsidP="009A751A">
      <w:pPr>
        <w:rPr>
          <w:b/>
        </w:rPr>
      </w:pPr>
      <w:r w:rsidRPr="00311B42">
        <w:rPr>
          <w:b/>
        </w:rPr>
        <w:t>Observation</w:t>
      </w:r>
      <w:r w:rsidR="00EA23EF">
        <w:rPr>
          <w:b/>
        </w:rPr>
        <w:t xml:space="preserve"> 4</w:t>
      </w:r>
      <w:r w:rsidRPr="00311B42">
        <w:rPr>
          <w:b/>
        </w:rPr>
        <w:t xml:space="preserve">. Significant degradation is seen with 4Tx transmissions even in R14 HST speeds. </w:t>
      </w:r>
    </w:p>
    <w:p w14:paraId="00BAF6E6" w14:textId="4AAD4CDA" w:rsidR="00311B42" w:rsidRDefault="00311B42" w:rsidP="009A751A">
      <w:r>
        <w:t xml:space="preserve">Figure 4 </w:t>
      </w:r>
      <w:r w:rsidR="00F94754">
        <w:t>compares the performance of CRS-based transmission modes with that of DMRS-based transmission modes</w:t>
      </w:r>
      <w:r w:rsidR="00563E9F">
        <w:t xml:space="preserve"> in fixed MCS scenario </w:t>
      </w:r>
      <w:proofErr w:type="gramStart"/>
      <w:r w:rsidR="00563E9F">
        <w:t>similar to</w:t>
      </w:r>
      <w:proofErr w:type="gramEnd"/>
      <w:r w:rsidR="00563E9F">
        <w:t xml:space="preserve"> Test 8.2.9.</w:t>
      </w:r>
      <w:r w:rsidR="000E2B1A">
        <w:t>1</w:t>
      </w:r>
      <w:r w:rsidR="00563E9F">
        <w:t>.</w:t>
      </w:r>
      <w:r w:rsidR="000E2B1A">
        <w:t xml:space="preserve"> For TM3, MCS19, 64QCM with code rate of 0.465 is used. For TM9, MCS18, 64QAM with code rate of 0.459 is used. Both modes use 2 symbols for control region.</w:t>
      </w:r>
      <w:r w:rsidR="00563E9F">
        <w:t xml:space="preserve"> At 350 km/h, DMRS-based mode achieves only 45% of peak throughput but CRS-based mode can achieve peak throughput.</w:t>
      </w:r>
    </w:p>
    <w:p w14:paraId="285ED2A1" w14:textId="77777777" w:rsidR="00BD61F8" w:rsidRDefault="00BD61F8" w:rsidP="00BD61F8">
      <w:r>
        <w:t>DMRS-based in LTE transmission are fundamentally poorer in performance compared to CRS-based modes since DMRS symbols only occupy the last two symbols of a slot (in normal subframes). Hence, channel estimation error is significantly higher particularly in the beginning of the subframes (extrapolation region) resulting in early code block failures. In R14 HST, the scope was limited to CRS-based scenarios. Since no change in physical layer is assumed for R16 HST, we see no reason to consider DMRS-based transmission in R16 HST.</w:t>
      </w:r>
    </w:p>
    <w:p w14:paraId="7ACCCD59" w14:textId="77777777" w:rsidR="00BD61F8" w:rsidRDefault="00BD61F8" w:rsidP="009A751A"/>
    <w:p w14:paraId="4C55E5F1" w14:textId="4673E7FA" w:rsidR="00BD61F8" w:rsidRDefault="00FB4C99" w:rsidP="00BD61F8">
      <w:pPr>
        <w:keepNext/>
        <w:jc w:val="center"/>
      </w:pPr>
      <w:r>
        <w:rPr>
          <w:noProof/>
        </w:rPr>
        <w:lastRenderedPageBreak/>
        <w:drawing>
          <wp:inline distT="0" distB="0" distL="0" distR="0" wp14:anchorId="17E9ABA8" wp14:editId="4BAB4B47">
            <wp:extent cx="4818490" cy="3610134"/>
            <wp:effectExtent l="0" t="0" r="0" b="9525"/>
            <wp:docPr id="25" name="Picture 25" descr="cid:image001.png@01D4C389.F87E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1.png@01D4C389.F87E754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821689" cy="3612531"/>
                    </a:xfrm>
                    <a:prstGeom prst="rect">
                      <a:avLst/>
                    </a:prstGeom>
                    <a:noFill/>
                    <a:ln>
                      <a:noFill/>
                    </a:ln>
                  </pic:spPr>
                </pic:pic>
              </a:graphicData>
            </a:graphic>
          </wp:inline>
        </w:drawing>
      </w:r>
    </w:p>
    <w:p w14:paraId="2D2B5673" w14:textId="5195AAAA" w:rsidR="00563E9F" w:rsidRDefault="00BD61F8" w:rsidP="00BD61F8">
      <w:pPr>
        <w:pStyle w:val="Caption"/>
        <w:jc w:val="center"/>
      </w:pPr>
      <w:r>
        <w:t xml:space="preserve">Figure </w:t>
      </w:r>
      <w:r>
        <w:fldChar w:fldCharType="begin"/>
      </w:r>
      <w:r>
        <w:instrText xml:space="preserve"> SEQ Figure \* ARABIC </w:instrText>
      </w:r>
      <w:r>
        <w:fldChar w:fldCharType="separate"/>
      </w:r>
      <w:r w:rsidR="00715866">
        <w:rPr>
          <w:noProof/>
        </w:rPr>
        <w:t>4</w:t>
      </w:r>
      <w:r>
        <w:fldChar w:fldCharType="end"/>
      </w:r>
      <w:r>
        <w:t xml:space="preserve"> PDSCH performance </w:t>
      </w:r>
      <w:r w:rsidR="00067A25">
        <w:t>comparison of TM3 and TM9 for 2 layers</w:t>
      </w:r>
      <w:r w:rsidR="00E612B5">
        <w:t xml:space="preserve"> </w:t>
      </w:r>
    </w:p>
    <w:p w14:paraId="0ABD7132" w14:textId="539318F8" w:rsidR="00563E9F" w:rsidRDefault="00563E9F" w:rsidP="009A751A"/>
    <w:p w14:paraId="0C395C40" w14:textId="036E03F4" w:rsidR="00563E9F" w:rsidRDefault="00563E9F" w:rsidP="009A751A">
      <w:pPr>
        <w:rPr>
          <w:b/>
        </w:rPr>
      </w:pPr>
      <w:r w:rsidRPr="00BA1BEC">
        <w:rPr>
          <w:b/>
        </w:rPr>
        <w:t>Observation</w:t>
      </w:r>
      <w:r w:rsidR="00EA23EF">
        <w:rPr>
          <w:b/>
        </w:rPr>
        <w:t xml:space="preserve"> 5</w:t>
      </w:r>
      <w:r w:rsidRPr="00BA1BEC">
        <w:rPr>
          <w:b/>
        </w:rPr>
        <w:t>. Significant degradation is seen with DMRS-based transmission modes even in R14 HST speeds.</w:t>
      </w:r>
    </w:p>
    <w:p w14:paraId="40EDC7A8" w14:textId="4FEC24BB" w:rsidR="00BA1BEC" w:rsidRDefault="00C06CE6" w:rsidP="009A751A">
      <w:pPr>
        <w:rPr>
          <w:b/>
          <w:i/>
          <w:sz w:val="22"/>
        </w:rPr>
      </w:pPr>
      <w:r>
        <w:rPr>
          <w:b/>
          <w:i/>
          <w:sz w:val="22"/>
        </w:rPr>
        <w:t>PDCCH performance:</w:t>
      </w:r>
    </w:p>
    <w:p w14:paraId="3149FB6B" w14:textId="1B944BC3" w:rsidR="00C06CE6" w:rsidRDefault="008164A0" w:rsidP="009A751A">
      <w:r>
        <w:t>Figure 5 shows PDCCH performance for the in-sync PDCCH profile of DCI 1C, CCE = 4, and TPR = - 3</w:t>
      </w:r>
      <w:r w:rsidR="0086274E">
        <w:t xml:space="preserve"> </w:t>
      </w:r>
      <w:proofErr w:type="spellStart"/>
      <w:r>
        <w:t>dB.</w:t>
      </w:r>
      <w:proofErr w:type="spellEnd"/>
      <w:r>
        <w:t xml:space="preserve"> The right figure shows BER and the left figure shows BLER. At speeds up to and including 450 km/h, PDCCH performance is similar with no visible loss. However, at 500 km/h, PDCCH performance breaks due to aliasing at 1250 Hz two-sided Doppler shift.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4819"/>
      </w:tblGrid>
      <w:tr w:rsidR="00EA2F57" w14:paraId="36BEC037" w14:textId="77777777" w:rsidTr="00C80669">
        <w:trPr>
          <w:trHeight w:val="1560"/>
        </w:trPr>
        <w:tc>
          <w:tcPr>
            <w:tcW w:w="2975" w:type="dxa"/>
          </w:tcPr>
          <w:p w14:paraId="2869E0AC" w14:textId="52EF3E72" w:rsidR="00EA2F57" w:rsidRDefault="00C80669" w:rsidP="009A751A">
            <w:r>
              <w:rPr>
                <w:noProof/>
              </w:rPr>
              <w:drawing>
                <wp:inline distT="0" distB="0" distL="0" distR="0" wp14:anchorId="3F3B6AEA" wp14:editId="304687EF">
                  <wp:extent cx="3224284" cy="2415396"/>
                  <wp:effectExtent l="0" t="0" r="0" b="0"/>
                  <wp:docPr id="3" name="Picture 3">
                    <a:extLst xmlns:a="http://schemas.openxmlformats.org/drawingml/2006/main">
                      <a:ext uri="{FF2B5EF4-FFF2-40B4-BE49-F238E27FC236}">
                        <a16:creationId xmlns:a16="http://schemas.microsoft.com/office/drawing/2014/main" id="{74420076-ED70-4083-9823-E4E819E0E4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4420076-ED70-4083-9823-E4E819E0E4AF}"/>
                              </a:ext>
                            </a:extLst>
                          </pic:cNvPr>
                          <pic:cNvPicPr>
                            <a:picLocks noChangeAspect="1"/>
                          </pic:cNvPicPr>
                        </pic:nvPicPr>
                        <pic:blipFill>
                          <a:blip r:embed="rId21"/>
                          <a:stretch>
                            <a:fillRect/>
                          </a:stretch>
                        </pic:blipFill>
                        <pic:spPr>
                          <a:xfrm>
                            <a:off x="0" y="0"/>
                            <a:ext cx="3229404" cy="2419232"/>
                          </a:xfrm>
                          <a:prstGeom prst="rect">
                            <a:avLst/>
                          </a:prstGeom>
                        </pic:spPr>
                      </pic:pic>
                    </a:graphicData>
                  </a:graphic>
                </wp:inline>
              </w:drawing>
            </w:r>
          </w:p>
        </w:tc>
        <w:tc>
          <w:tcPr>
            <w:tcW w:w="4529" w:type="dxa"/>
          </w:tcPr>
          <w:p w14:paraId="00DCEEB8" w14:textId="4A16373A" w:rsidR="00EA2F57" w:rsidRDefault="00C80669" w:rsidP="00C80669">
            <w:pPr>
              <w:keepNext/>
            </w:pPr>
            <w:r>
              <w:rPr>
                <w:noProof/>
              </w:rPr>
              <w:drawing>
                <wp:inline distT="0" distB="0" distL="0" distR="0" wp14:anchorId="51518E4D" wp14:editId="40CCFED5">
                  <wp:extent cx="3270345" cy="2449902"/>
                  <wp:effectExtent l="0" t="0" r="0" b="0"/>
                  <wp:docPr id="7" name="Picture 5">
                    <a:extLst xmlns:a="http://schemas.openxmlformats.org/drawingml/2006/main">
                      <a:ext uri="{FF2B5EF4-FFF2-40B4-BE49-F238E27FC236}">
                        <a16:creationId xmlns:a16="http://schemas.microsoft.com/office/drawing/2014/main" id="{78485419-13F0-488E-80C3-AC9D3FD388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8485419-13F0-488E-80C3-AC9D3FD3884B}"/>
                              </a:ext>
                            </a:extLst>
                          </pic:cNvPr>
                          <pic:cNvPicPr>
                            <a:picLocks noChangeAspect="1"/>
                          </pic:cNvPicPr>
                        </pic:nvPicPr>
                        <pic:blipFill>
                          <a:blip r:embed="rId22"/>
                          <a:stretch>
                            <a:fillRect/>
                          </a:stretch>
                        </pic:blipFill>
                        <pic:spPr>
                          <a:xfrm>
                            <a:off x="0" y="0"/>
                            <a:ext cx="3277174" cy="2455018"/>
                          </a:xfrm>
                          <a:prstGeom prst="rect">
                            <a:avLst/>
                          </a:prstGeom>
                        </pic:spPr>
                      </pic:pic>
                    </a:graphicData>
                  </a:graphic>
                </wp:inline>
              </w:drawing>
            </w:r>
          </w:p>
        </w:tc>
      </w:tr>
    </w:tbl>
    <w:p w14:paraId="5D3D3C9B" w14:textId="1F079166" w:rsidR="0086274E" w:rsidRDefault="00C80669" w:rsidP="00C80669">
      <w:pPr>
        <w:pStyle w:val="Caption"/>
        <w:jc w:val="center"/>
      </w:pPr>
      <w:r>
        <w:t xml:space="preserve">Figure </w:t>
      </w:r>
      <w:r>
        <w:fldChar w:fldCharType="begin"/>
      </w:r>
      <w:r>
        <w:instrText xml:space="preserve"> SEQ Figure \* ARABIC </w:instrText>
      </w:r>
      <w:r>
        <w:fldChar w:fldCharType="separate"/>
      </w:r>
      <w:r w:rsidR="00715866">
        <w:rPr>
          <w:noProof/>
        </w:rPr>
        <w:t>5</w:t>
      </w:r>
      <w:r>
        <w:fldChar w:fldCharType="end"/>
      </w:r>
      <w:r>
        <w:t xml:space="preserve"> PDCCH in-sync performance</w:t>
      </w:r>
    </w:p>
    <w:p w14:paraId="005DA54B" w14:textId="40C19A40" w:rsidR="0086274E" w:rsidRDefault="00EA2F57" w:rsidP="009A751A">
      <w:r w:rsidRPr="00EA2F57">
        <w:rPr>
          <w:noProof/>
        </w:rPr>
        <w:t xml:space="preserve"> </w:t>
      </w:r>
    </w:p>
    <w:p w14:paraId="4E5CA3BB" w14:textId="53020F94" w:rsidR="0086274E" w:rsidRDefault="0086274E" w:rsidP="0086274E">
      <w:r>
        <w:t xml:space="preserve">Figure 6 shows PDCCH performance of the out-of-sync PDCCH profile of DCI 1A, CCE=8, and TPR = 1 </w:t>
      </w:r>
      <w:proofErr w:type="spellStart"/>
      <w:r>
        <w:t>dB.</w:t>
      </w:r>
      <w:proofErr w:type="spellEnd"/>
      <w:r w:rsidRPr="0086274E">
        <w:t xml:space="preserve"> </w:t>
      </w:r>
      <w:r>
        <w:t xml:space="preserve">The right figure shows BER and the left figure shows BLER. At speeds up to and including 450 km/h, PDCCH </w:t>
      </w:r>
      <w:r>
        <w:lastRenderedPageBreak/>
        <w:t xml:space="preserve">performance is similar with no visible loss. However, at 500 km/h, PDCCH performance breaks due to aliasing at 1250 Hz two-sided Doppler shift.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529"/>
      </w:tblGrid>
      <w:tr w:rsidR="00C80669" w14:paraId="767E4F45" w14:textId="77777777" w:rsidTr="00C80669">
        <w:trPr>
          <w:trHeight w:val="1560"/>
        </w:trPr>
        <w:tc>
          <w:tcPr>
            <w:tcW w:w="4822" w:type="dxa"/>
          </w:tcPr>
          <w:p w14:paraId="47859CDC" w14:textId="09F8D7CE" w:rsidR="00C80669" w:rsidRDefault="004F4072" w:rsidP="00DB7656">
            <w:r>
              <w:rPr>
                <w:noProof/>
                <w:sz w:val="24"/>
                <w:szCs w:val="24"/>
              </w:rPr>
              <w:drawing>
                <wp:anchor distT="0" distB="0" distL="114300" distR="114300" simplePos="0" relativeHeight="251660288" behindDoc="0" locked="0" layoutInCell="1" allowOverlap="1" wp14:anchorId="2A7BC13F" wp14:editId="5E3277CD">
                  <wp:simplePos x="0" y="0"/>
                  <wp:positionH relativeFrom="margin">
                    <wp:posOffset>-635</wp:posOffset>
                  </wp:positionH>
                  <wp:positionV relativeFrom="paragraph">
                    <wp:posOffset>8890</wp:posOffset>
                  </wp:positionV>
                  <wp:extent cx="2981325" cy="2233631"/>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81325" cy="2233631"/>
                          </a:xfrm>
                          <a:prstGeom prst="rect">
                            <a:avLst/>
                          </a:prstGeom>
                          <a:noFill/>
                        </pic:spPr>
                      </pic:pic>
                    </a:graphicData>
                  </a:graphic>
                  <wp14:sizeRelH relativeFrom="page">
                    <wp14:pctWidth>0</wp14:pctWidth>
                  </wp14:sizeRelH>
                  <wp14:sizeRelV relativeFrom="page">
                    <wp14:pctHeight>0</wp14:pctHeight>
                  </wp14:sizeRelV>
                </wp:anchor>
              </w:drawing>
            </w:r>
          </w:p>
        </w:tc>
        <w:tc>
          <w:tcPr>
            <w:tcW w:w="4529" w:type="dxa"/>
          </w:tcPr>
          <w:p w14:paraId="6BDF7452" w14:textId="0493ACC9" w:rsidR="00C80669" w:rsidRDefault="004F4072" w:rsidP="00C80669">
            <w:pPr>
              <w:keepNext/>
            </w:pPr>
            <w:r>
              <w:rPr>
                <w:noProof/>
                <w:sz w:val="24"/>
                <w:szCs w:val="24"/>
              </w:rPr>
              <w:drawing>
                <wp:anchor distT="0" distB="0" distL="114300" distR="114300" simplePos="0" relativeHeight="251664384" behindDoc="0" locked="0" layoutInCell="1" allowOverlap="1" wp14:anchorId="305855B1" wp14:editId="47DC2365">
                  <wp:simplePos x="0" y="0"/>
                  <wp:positionH relativeFrom="margin">
                    <wp:posOffset>-4445</wp:posOffset>
                  </wp:positionH>
                  <wp:positionV relativeFrom="paragraph">
                    <wp:posOffset>4445</wp:posOffset>
                  </wp:positionV>
                  <wp:extent cx="3048000" cy="22835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83585"/>
                          </a:xfrm>
                          <a:prstGeom prst="rect">
                            <a:avLst/>
                          </a:prstGeom>
                          <a:noFill/>
                        </pic:spPr>
                      </pic:pic>
                    </a:graphicData>
                  </a:graphic>
                  <wp14:sizeRelH relativeFrom="page">
                    <wp14:pctWidth>0</wp14:pctWidth>
                  </wp14:sizeRelH>
                  <wp14:sizeRelV relativeFrom="page">
                    <wp14:pctHeight>0</wp14:pctHeight>
                  </wp14:sizeRelV>
                </wp:anchor>
              </w:drawing>
            </w:r>
          </w:p>
        </w:tc>
      </w:tr>
    </w:tbl>
    <w:p w14:paraId="3BEC101C" w14:textId="3907393D" w:rsidR="004F4072" w:rsidRPr="004F4072" w:rsidRDefault="00C80669" w:rsidP="004F4072">
      <w:pPr>
        <w:pStyle w:val="Caption"/>
        <w:jc w:val="center"/>
      </w:pPr>
      <w:r>
        <w:t xml:space="preserve">Figure </w:t>
      </w:r>
      <w:r>
        <w:fldChar w:fldCharType="begin"/>
      </w:r>
      <w:r>
        <w:instrText xml:space="preserve"> SEQ Figure \* ARABIC </w:instrText>
      </w:r>
      <w:r>
        <w:fldChar w:fldCharType="separate"/>
      </w:r>
      <w:r w:rsidR="00715866">
        <w:rPr>
          <w:noProof/>
        </w:rPr>
        <w:t>6</w:t>
      </w:r>
      <w:r>
        <w:fldChar w:fldCharType="end"/>
      </w:r>
      <w:r>
        <w:t xml:space="preserve"> PDCCH out-of-sync performance</w:t>
      </w:r>
    </w:p>
    <w:p w14:paraId="0F274164" w14:textId="2F1B085A" w:rsidR="0068274D" w:rsidRPr="00AA6337" w:rsidRDefault="0068274D" w:rsidP="009A751A">
      <w:pPr>
        <w:rPr>
          <w:b/>
        </w:rPr>
      </w:pPr>
      <w:r w:rsidRPr="00AA6337">
        <w:rPr>
          <w:b/>
        </w:rPr>
        <w:t>Observation</w:t>
      </w:r>
      <w:r w:rsidR="00EA23EF">
        <w:rPr>
          <w:b/>
        </w:rPr>
        <w:t xml:space="preserve"> 6</w:t>
      </w:r>
      <w:r w:rsidRPr="00AA6337">
        <w:rPr>
          <w:b/>
        </w:rPr>
        <w:t xml:space="preserve">. PDCCH performance for in-sync and out-of-sync profiles holds for speeds up to and including 450 km/h but breaks at 500 km/h due to aliasing at 1250 Hz two-sided Doppler shift. </w:t>
      </w:r>
    </w:p>
    <w:p w14:paraId="48E54995" w14:textId="5E039F52" w:rsidR="0068274D" w:rsidRPr="00C83566" w:rsidRDefault="00C83566" w:rsidP="009A751A">
      <w:pPr>
        <w:rPr>
          <w:b/>
          <w:i/>
          <w:sz w:val="22"/>
        </w:rPr>
      </w:pPr>
      <w:r w:rsidRPr="00C83566">
        <w:rPr>
          <w:b/>
          <w:i/>
          <w:sz w:val="22"/>
        </w:rPr>
        <w:t>Measurement Accuracy:</w:t>
      </w:r>
    </w:p>
    <w:p w14:paraId="4C03F982" w14:textId="14F83163" w:rsidR="00C83566" w:rsidRDefault="00AA6337" w:rsidP="009A751A">
      <w:r>
        <w:t xml:space="preserve">Figure 7 shows </w:t>
      </w:r>
      <w:r w:rsidR="00BD61F8">
        <w:t xml:space="preserve">the impact of </w:t>
      </w:r>
      <w:r w:rsidR="00D532EB">
        <w:t xml:space="preserve">higher speed on measurement accuracy. As an example, </w:t>
      </w:r>
      <w:r w:rsidR="0020382C">
        <w:t xml:space="preserve">two levels of RSRP are tested and CDF of measured RSRP in HST bidirectional channel with 300 and 500 km/h speeds are plotted. </w:t>
      </w:r>
      <w:r w:rsidR="00D532EB">
        <w:t>With speed of 500 km/h, large</w:t>
      </w:r>
      <w:r w:rsidR="0020382C">
        <w:t>r</w:t>
      </w:r>
      <w:r w:rsidR="00D532EB">
        <w:t xml:space="preserve"> estimation error is seen.</w:t>
      </w:r>
    </w:p>
    <w:p w14:paraId="2423CFE6" w14:textId="30B7003D" w:rsidR="00BD61F8" w:rsidRDefault="00151AC0" w:rsidP="009A751A">
      <w:pPr>
        <w:rPr>
          <w:b/>
        </w:rPr>
      </w:pPr>
      <w:r w:rsidRPr="006E390D">
        <w:rPr>
          <w:b/>
        </w:rPr>
        <w:t>Observation</w:t>
      </w:r>
      <w:r w:rsidR="00EA23EF">
        <w:rPr>
          <w:b/>
        </w:rPr>
        <w:t xml:space="preserve"> 7</w:t>
      </w:r>
      <w:r w:rsidRPr="006E390D">
        <w:rPr>
          <w:b/>
        </w:rPr>
        <w:t xml:space="preserve">. </w:t>
      </w:r>
      <w:r w:rsidR="0020382C">
        <w:rPr>
          <w:b/>
        </w:rPr>
        <w:t>RSRP measurement accuracy is further degraded in HST channel with</w:t>
      </w:r>
      <w:r w:rsidR="006E390D" w:rsidRPr="006E390D">
        <w:rPr>
          <w:b/>
        </w:rPr>
        <w:t xml:space="preserve"> 500 km/h speed.</w:t>
      </w:r>
    </w:p>
    <w:p w14:paraId="131EA1C2" w14:textId="02FCA4F7" w:rsidR="00583CD7" w:rsidRDefault="00583CD7" w:rsidP="009A751A">
      <w:r>
        <w:t>Given the above observations, we propose the following:</w:t>
      </w:r>
    </w:p>
    <w:p w14:paraId="17068130" w14:textId="2C1A275A" w:rsidR="00583CD7" w:rsidRDefault="00583CD7" w:rsidP="00583CD7">
      <w:pPr>
        <w:rPr>
          <w:b/>
        </w:rPr>
      </w:pPr>
      <w:r w:rsidRPr="00007A6C">
        <w:rPr>
          <w:b/>
        </w:rPr>
        <w:t>Proposal</w:t>
      </w:r>
      <w:r w:rsidR="00EA23EF">
        <w:rPr>
          <w:b/>
        </w:rPr>
        <w:t xml:space="preserve"> 2</w:t>
      </w:r>
      <w:r w:rsidRPr="00007A6C">
        <w:rPr>
          <w:b/>
        </w:rPr>
        <w:t xml:space="preserve">. </w:t>
      </w:r>
      <w:r>
        <w:rPr>
          <w:b/>
        </w:rPr>
        <w:t xml:space="preserve">For target speed of 500 km/h, </w:t>
      </w:r>
      <w:r w:rsidRPr="00007A6C">
        <w:rPr>
          <w:b/>
        </w:rPr>
        <w:t xml:space="preserve">RAN4 should not consider bidirectional coverage model as concluded in R14 HST WI and instead focus on unidirectional coverage model. </w:t>
      </w:r>
    </w:p>
    <w:p w14:paraId="075AD74B" w14:textId="6400FF7E" w:rsidR="00583CD7" w:rsidRPr="00583CD7" w:rsidRDefault="00583CD7" w:rsidP="009A751A">
      <w:pPr>
        <w:rPr>
          <w:b/>
        </w:rPr>
      </w:pPr>
      <w:r w:rsidRPr="00583CD7">
        <w:rPr>
          <w:b/>
        </w:rPr>
        <w:t>Proposal</w:t>
      </w:r>
      <w:r w:rsidR="00EA23EF">
        <w:rPr>
          <w:b/>
        </w:rPr>
        <w:t xml:space="preserve"> 3</w:t>
      </w:r>
      <w:r w:rsidRPr="00583CD7">
        <w:rPr>
          <w:b/>
        </w:rPr>
        <w:t xml:space="preserve">. Due to much larger performance degradation, 4Tx to be excluded from R16 HST scope </w:t>
      </w:r>
      <w:proofErr w:type="gramStart"/>
      <w:r w:rsidRPr="00583CD7">
        <w:rPr>
          <w:b/>
        </w:rPr>
        <w:t>similar to</w:t>
      </w:r>
      <w:proofErr w:type="gramEnd"/>
      <w:r w:rsidRPr="00583CD7">
        <w:rPr>
          <w:b/>
        </w:rPr>
        <w:t xml:space="preserve"> R14 HST since no physical layer change is allowed.</w:t>
      </w:r>
    </w:p>
    <w:p w14:paraId="48FFC36E" w14:textId="3063F416" w:rsidR="00583CD7" w:rsidRPr="00583CD7" w:rsidRDefault="00583CD7" w:rsidP="009A751A">
      <w:pPr>
        <w:rPr>
          <w:b/>
        </w:rPr>
      </w:pPr>
      <w:r w:rsidRPr="00583CD7">
        <w:rPr>
          <w:b/>
        </w:rPr>
        <w:t>Proposal</w:t>
      </w:r>
      <w:r w:rsidR="00EA23EF">
        <w:rPr>
          <w:b/>
        </w:rPr>
        <w:t xml:space="preserve"> 4</w:t>
      </w:r>
      <w:r w:rsidRPr="00583CD7">
        <w:rPr>
          <w:b/>
        </w:rPr>
        <w:t xml:space="preserve">. Due to much larger performance degradation, DMRS-based transmission modes to be excluded from R16 HST scope </w:t>
      </w:r>
      <w:proofErr w:type="gramStart"/>
      <w:r w:rsidRPr="00583CD7">
        <w:rPr>
          <w:b/>
        </w:rPr>
        <w:t>similar to</w:t>
      </w:r>
      <w:proofErr w:type="gramEnd"/>
      <w:r w:rsidRPr="00583CD7">
        <w:rPr>
          <w:b/>
        </w:rPr>
        <w:t xml:space="preserve"> R14 HST since no physical layer change is allowed.</w:t>
      </w:r>
    </w:p>
    <w:p w14:paraId="2A98BABC" w14:textId="14FD1456" w:rsidR="00C83566" w:rsidRDefault="00C83566" w:rsidP="009A751A"/>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512133" w14:paraId="52B297A4" w14:textId="77777777" w:rsidTr="00715866">
        <w:trPr>
          <w:jc w:val="center"/>
        </w:trPr>
        <w:tc>
          <w:tcPr>
            <w:tcW w:w="4781" w:type="dxa"/>
          </w:tcPr>
          <w:p w14:paraId="1A87B8A7" w14:textId="21AD09B1" w:rsidR="00512133" w:rsidRDefault="00C45C35" w:rsidP="00715866">
            <w:pPr>
              <w:keepNext/>
            </w:pPr>
            <w:r w:rsidRPr="008571D1">
              <w:rPr>
                <w:noProof/>
              </w:rPr>
              <w:lastRenderedPageBreak/>
              <w:drawing>
                <wp:inline distT="0" distB="0" distL="0" distR="0" wp14:anchorId="06599BA1" wp14:editId="36B4182D">
                  <wp:extent cx="3061252" cy="2435222"/>
                  <wp:effectExtent l="0" t="0" r="635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1105" cy="2443060"/>
                          </a:xfrm>
                          <a:prstGeom prst="rect">
                            <a:avLst/>
                          </a:prstGeom>
                          <a:noFill/>
                          <a:ln>
                            <a:noFill/>
                          </a:ln>
                        </pic:spPr>
                      </pic:pic>
                    </a:graphicData>
                  </a:graphic>
                </wp:inline>
              </w:drawing>
            </w:r>
          </w:p>
          <w:p w14:paraId="6D2A8C54" w14:textId="2F5DC780" w:rsidR="00512133" w:rsidRDefault="00512133" w:rsidP="009A751A"/>
        </w:tc>
        <w:tc>
          <w:tcPr>
            <w:tcW w:w="4781" w:type="dxa"/>
          </w:tcPr>
          <w:p w14:paraId="14566D7A" w14:textId="26150C10" w:rsidR="00512133" w:rsidRDefault="00C45C35" w:rsidP="00715866">
            <w:pPr>
              <w:keepNext/>
            </w:pPr>
            <w:r w:rsidRPr="00C45C35">
              <w:rPr>
                <w:noProof/>
              </w:rPr>
              <w:drawing>
                <wp:inline distT="0" distB="0" distL="0" distR="0" wp14:anchorId="107C96EF" wp14:editId="16B70F7D">
                  <wp:extent cx="3061252" cy="2425637"/>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9486" cy="2432162"/>
                          </a:xfrm>
                          <a:prstGeom prst="rect">
                            <a:avLst/>
                          </a:prstGeom>
                          <a:noFill/>
                          <a:ln>
                            <a:noFill/>
                          </a:ln>
                        </pic:spPr>
                      </pic:pic>
                    </a:graphicData>
                  </a:graphic>
                </wp:inline>
              </w:drawing>
            </w:r>
          </w:p>
        </w:tc>
      </w:tr>
    </w:tbl>
    <w:p w14:paraId="1D0FFFD5" w14:textId="59BB2A47" w:rsidR="008571D1" w:rsidRPr="008571D1" w:rsidRDefault="00715866" w:rsidP="00C45C35">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RSRP measurement accuracy for</w:t>
      </w:r>
      <w:r w:rsidR="00C45C35">
        <w:t xml:space="preserve"> -102 dB (left) and -92 (right)</w:t>
      </w:r>
    </w:p>
    <w:p w14:paraId="05109B46" w14:textId="1F8C65E5" w:rsidR="00F2107A" w:rsidRDefault="0032488E" w:rsidP="005D6C7D">
      <w:pPr>
        <w:pStyle w:val="Heading1"/>
        <w:rPr>
          <w:lang w:val="en-US"/>
        </w:rPr>
      </w:pPr>
      <w:r>
        <w:rPr>
          <w:lang w:val="en-US"/>
        </w:rPr>
        <w:t>Con</w:t>
      </w:r>
      <w:r w:rsidR="00F2107A">
        <w:rPr>
          <w:lang w:val="en-US"/>
        </w:rPr>
        <w:t>clusions</w:t>
      </w:r>
    </w:p>
    <w:p w14:paraId="5209F5F8" w14:textId="77777777" w:rsidR="00F65DC2" w:rsidRPr="00C41C14" w:rsidRDefault="00F65DC2" w:rsidP="00F65DC2">
      <w:pPr>
        <w:rPr>
          <w:b/>
          <w:lang w:val="en-US"/>
        </w:rPr>
      </w:pPr>
      <w:r w:rsidRPr="00C41C14">
        <w:rPr>
          <w:b/>
          <w:lang w:val="en-US"/>
        </w:rPr>
        <w:t>Proposal 1. Extend the R14 HST demodulation requirements to CA scenarios.</w:t>
      </w:r>
    </w:p>
    <w:p w14:paraId="43244AE9" w14:textId="77777777" w:rsidR="00EA23EF" w:rsidRDefault="00EA23EF" w:rsidP="00EA23EF">
      <w:pPr>
        <w:rPr>
          <w:b/>
        </w:rPr>
      </w:pPr>
      <w:r w:rsidRPr="009D060A">
        <w:rPr>
          <w:b/>
        </w:rPr>
        <w:t>Observation</w:t>
      </w:r>
      <w:r>
        <w:rPr>
          <w:b/>
        </w:rPr>
        <w:t xml:space="preserve"> 1</w:t>
      </w:r>
      <w:r w:rsidRPr="009D060A">
        <w:rPr>
          <w:b/>
        </w:rPr>
        <w:t xml:space="preserve">. Measurement requirements in terms of time-to-identify and time-to-measure for SCCs with common DRX are the same as those for single-carrier scenario.  </w:t>
      </w:r>
    </w:p>
    <w:p w14:paraId="625AA8CE" w14:textId="039475C2" w:rsidR="00EA23EF" w:rsidRPr="009D060A" w:rsidRDefault="00EA23EF" w:rsidP="00EA23EF">
      <w:pPr>
        <w:rPr>
          <w:b/>
        </w:rPr>
      </w:pPr>
      <w:r>
        <w:rPr>
          <w:b/>
        </w:rPr>
        <w:t xml:space="preserve">Proposal 2. RAN4 to consider adjusting the </w:t>
      </w:r>
      <w:r w:rsidR="001E31BD">
        <w:rPr>
          <w:b/>
        </w:rPr>
        <w:t xml:space="preserve">HST </w:t>
      </w:r>
      <w:r>
        <w:rPr>
          <w:b/>
        </w:rPr>
        <w:t>CA measurement requirements for shorter DRX cycles in the same manner as in Section 8.1.2.2</w:t>
      </w:r>
      <w:r w:rsidR="001E31BD">
        <w:rPr>
          <w:b/>
        </w:rPr>
        <w:t xml:space="preserve"> (single carrier)</w:t>
      </w:r>
      <w:r>
        <w:rPr>
          <w:b/>
        </w:rPr>
        <w:t xml:space="preserve">. Power-saving </w:t>
      </w:r>
      <w:proofErr w:type="spellStart"/>
      <w:r>
        <w:rPr>
          <w:b/>
        </w:rPr>
        <w:t>tradeoff</w:t>
      </w:r>
      <w:proofErr w:type="spellEnd"/>
      <w:r>
        <w:rPr>
          <w:b/>
        </w:rPr>
        <w:t xml:space="preserve"> should also be considered.</w:t>
      </w:r>
    </w:p>
    <w:p w14:paraId="6AA81552" w14:textId="77777777" w:rsidR="00EA23EF" w:rsidRPr="00007A6C" w:rsidRDefault="00EA23EF" w:rsidP="00EA23EF">
      <w:pPr>
        <w:rPr>
          <w:b/>
        </w:rPr>
      </w:pPr>
      <w:r w:rsidRPr="00007A6C">
        <w:rPr>
          <w:b/>
        </w:rPr>
        <w:t>Observation</w:t>
      </w:r>
      <w:r>
        <w:rPr>
          <w:b/>
        </w:rPr>
        <w:t xml:space="preserve"> 2. </w:t>
      </w:r>
      <w:r w:rsidRPr="00007A6C">
        <w:rPr>
          <w:b/>
        </w:rPr>
        <w:t xml:space="preserve">With bidirectional coverage model, UE experiences two-sided Doppler shift of 1250 Hz at vehicular speed of 500 km/h with carrier frequency of 2.8 GHz which is not possible to track with LTE CRS subframe arrangement. </w:t>
      </w:r>
    </w:p>
    <w:p w14:paraId="17DA588A" w14:textId="31F762A2" w:rsidR="00172B4B" w:rsidRDefault="00EA23EF" w:rsidP="00766E67">
      <w:pPr>
        <w:rPr>
          <w:lang w:val="en-US"/>
        </w:rPr>
      </w:pPr>
      <w:r>
        <w:rPr>
          <w:lang w:val="en-US"/>
        </w:rPr>
        <w:t>With bidirectional HST channel model:</w:t>
      </w:r>
    </w:p>
    <w:p w14:paraId="7589FA86" w14:textId="77777777" w:rsidR="00EA23EF" w:rsidRPr="00383F88" w:rsidRDefault="00EA23EF" w:rsidP="00EA23EF">
      <w:pPr>
        <w:rPr>
          <w:b/>
        </w:rPr>
      </w:pPr>
      <w:r w:rsidRPr="00383F88">
        <w:rPr>
          <w:b/>
        </w:rPr>
        <w:t>Observation</w:t>
      </w:r>
      <w:r>
        <w:rPr>
          <w:b/>
        </w:rPr>
        <w:t xml:space="preserve"> 3</w:t>
      </w:r>
      <w:r w:rsidRPr="00383F88">
        <w:rPr>
          <w:b/>
        </w:rPr>
        <w:t xml:space="preserve">. Significant degradation in throughput can be seen in TM3 2Tx with increasing the speed beyond 400 km/h. At 500 km/h, the peak throughput is degraded by more than 90%. </w:t>
      </w:r>
    </w:p>
    <w:p w14:paraId="78915D23" w14:textId="77777777" w:rsidR="00EA23EF" w:rsidRPr="00311B42" w:rsidRDefault="00EA23EF" w:rsidP="00EA23EF">
      <w:pPr>
        <w:rPr>
          <w:b/>
        </w:rPr>
      </w:pPr>
      <w:r w:rsidRPr="00311B42">
        <w:rPr>
          <w:b/>
        </w:rPr>
        <w:t>Observation</w:t>
      </w:r>
      <w:r>
        <w:rPr>
          <w:b/>
        </w:rPr>
        <w:t xml:space="preserve"> 4</w:t>
      </w:r>
      <w:r w:rsidRPr="00311B42">
        <w:rPr>
          <w:b/>
        </w:rPr>
        <w:t xml:space="preserve">. Significant degradation is seen with 4Tx transmissions even in R14 HST speeds. </w:t>
      </w:r>
    </w:p>
    <w:p w14:paraId="73D1521E" w14:textId="77777777" w:rsidR="00EA23EF" w:rsidRDefault="00EA23EF" w:rsidP="00EA23EF">
      <w:pPr>
        <w:rPr>
          <w:b/>
        </w:rPr>
      </w:pPr>
      <w:r w:rsidRPr="00BA1BEC">
        <w:rPr>
          <w:b/>
        </w:rPr>
        <w:t>Observation</w:t>
      </w:r>
      <w:r>
        <w:rPr>
          <w:b/>
        </w:rPr>
        <w:t xml:space="preserve"> 5</w:t>
      </w:r>
      <w:r w:rsidRPr="00BA1BEC">
        <w:rPr>
          <w:b/>
        </w:rPr>
        <w:t>. Significant degradation is seen with DMRS-based transmission modes even in R14 HST speeds.</w:t>
      </w:r>
    </w:p>
    <w:p w14:paraId="4161EFF0" w14:textId="77777777" w:rsidR="00EA23EF" w:rsidRPr="00AA6337" w:rsidRDefault="00EA23EF" w:rsidP="00EA23EF">
      <w:pPr>
        <w:rPr>
          <w:b/>
        </w:rPr>
      </w:pPr>
      <w:r w:rsidRPr="00AA6337">
        <w:rPr>
          <w:b/>
        </w:rPr>
        <w:t>Observation</w:t>
      </w:r>
      <w:r>
        <w:rPr>
          <w:b/>
        </w:rPr>
        <w:t xml:space="preserve"> 6</w:t>
      </w:r>
      <w:r w:rsidRPr="00AA6337">
        <w:rPr>
          <w:b/>
        </w:rPr>
        <w:t xml:space="preserve">. PDCCH performance for in-sync and out-of-sync profiles holds for speeds up to and including 450 km/h but breaks at 500 km/h due to aliasing at 1250 Hz two-sided Doppler shift. </w:t>
      </w:r>
    </w:p>
    <w:p w14:paraId="10C073ED" w14:textId="77777777" w:rsidR="00EA23EF" w:rsidRDefault="00EA23EF" w:rsidP="00EA23EF">
      <w:pPr>
        <w:rPr>
          <w:b/>
        </w:rPr>
      </w:pPr>
      <w:r w:rsidRPr="006E390D">
        <w:rPr>
          <w:b/>
        </w:rPr>
        <w:t>Observation</w:t>
      </w:r>
      <w:r>
        <w:rPr>
          <w:b/>
        </w:rPr>
        <w:t xml:space="preserve"> 7</w:t>
      </w:r>
      <w:r w:rsidRPr="006E390D">
        <w:rPr>
          <w:b/>
        </w:rPr>
        <w:t xml:space="preserve">. </w:t>
      </w:r>
      <w:r>
        <w:rPr>
          <w:b/>
        </w:rPr>
        <w:t>RSRP measurement accuracy is further degraded in HST channel with</w:t>
      </w:r>
      <w:r w:rsidRPr="006E390D">
        <w:rPr>
          <w:b/>
        </w:rPr>
        <w:t xml:space="preserve"> 500 km/h speed.</w:t>
      </w:r>
    </w:p>
    <w:p w14:paraId="05683A05" w14:textId="77777777" w:rsidR="00EA23EF" w:rsidRDefault="00EA23EF" w:rsidP="00EA23EF">
      <w:r>
        <w:t>Given the above observations, we propose the following:</w:t>
      </w:r>
    </w:p>
    <w:p w14:paraId="0A8672B7" w14:textId="77777777" w:rsidR="00EA23EF" w:rsidRDefault="00EA23EF" w:rsidP="00EA23EF">
      <w:pPr>
        <w:rPr>
          <w:b/>
        </w:rPr>
      </w:pPr>
      <w:r w:rsidRPr="00007A6C">
        <w:rPr>
          <w:b/>
        </w:rPr>
        <w:t>Proposal</w:t>
      </w:r>
      <w:r>
        <w:rPr>
          <w:b/>
        </w:rPr>
        <w:t xml:space="preserve"> 2</w:t>
      </w:r>
      <w:r w:rsidRPr="00007A6C">
        <w:rPr>
          <w:b/>
        </w:rPr>
        <w:t xml:space="preserve">. </w:t>
      </w:r>
      <w:r>
        <w:rPr>
          <w:b/>
        </w:rPr>
        <w:t xml:space="preserve">For target speed of 500 km/h, </w:t>
      </w:r>
      <w:r w:rsidRPr="00007A6C">
        <w:rPr>
          <w:b/>
        </w:rPr>
        <w:t xml:space="preserve">RAN4 should not consider bidirectional coverage model as concluded in R14 HST WI and instead focus on unidirectional coverage model. </w:t>
      </w:r>
    </w:p>
    <w:p w14:paraId="62EB7FFD" w14:textId="77777777" w:rsidR="00EA23EF" w:rsidRPr="00583CD7" w:rsidRDefault="00EA23EF" w:rsidP="00EA23EF">
      <w:pPr>
        <w:rPr>
          <w:b/>
        </w:rPr>
      </w:pPr>
      <w:r w:rsidRPr="00583CD7">
        <w:rPr>
          <w:b/>
        </w:rPr>
        <w:t>Proposal</w:t>
      </w:r>
      <w:r>
        <w:rPr>
          <w:b/>
        </w:rPr>
        <w:t xml:space="preserve"> 3</w:t>
      </w:r>
      <w:r w:rsidRPr="00583CD7">
        <w:rPr>
          <w:b/>
        </w:rPr>
        <w:t xml:space="preserve">. Due to much larger performance degradation, 4Tx to be excluded from R16 HST scope </w:t>
      </w:r>
      <w:proofErr w:type="gramStart"/>
      <w:r w:rsidRPr="00583CD7">
        <w:rPr>
          <w:b/>
        </w:rPr>
        <w:t>similar to</w:t>
      </w:r>
      <w:proofErr w:type="gramEnd"/>
      <w:r w:rsidRPr="00583CD7">
        <w:rPr>
          <w:b/>
        </w:rPr>
        <w:t xml:space="preserve"> R14 HST since no physical layer change is allowed.</w:t>
      </w:r>
    </w:p>
    <w:p w14:paraId="7F99FEDF" w14:textId="77777777" w:rsidR="00EA23EF" w:rsidRPr="00583CD7" w:rsidRDefault="00EA23EF" w:rsidP="00EA23EF">
      <w:pPr>
        <w:rPr>
          <w:b/>
        </w:rPr>
      </w:pPr>
      <w:r w:rsidRPr="00583CD7">
        <w:rPr>
          <w:b/>
        </w:rPr>
        <w:t>Proposal</w:t>
      </w:r>
      <w:r>
        <w:rPr>
          <w:b/>
        </w:rPr>
        <w:t xml:space="preserve"> 4</w:t>
      </w:r>
      <w:r w:rsidRPr="00583CD7">
        <w:rPr>
          <w:b/>
        </w:rPr>
        <w:t xml:space="preserve">. Due to much larger performance degradation, DMRS-based transmission modes to be excluded from R16 HST scope </w:t>
      </w:r>
      <w:proofErr w:type="gramStart"/>
      <w:r w:rsidRPr="00583CD7">
        <w:rPr>
          <w:b/>
        </w:rPr>
        <w:t>similar to</w:t>
      </w:r>
      <w:proofErr w:type="gramEnd"/>
      <w:r w:rsidRPr="00583CD7">
        <w:rPr>
          <w:b/>
        </w:rPr>
        <w:t xml:space="preserve"> R14 HST since no physical layer change is allowed.</w:t>
      </w:r>
    </w:p>
    <w:p w14:paraId="7A8FB119" w14:textId="77777777" w:rsidR="00EA23EF" w:rsidRDefault="00EA23EF" w:rsidP="00766E67">
      <w:pPr>
        <w:rPr>
          <w:lang w:val="en-US"/>
        </w:rPr>
      </w:pPr>
    </w:p>
    <w:p w14:paraId="0C633F9D" w14:textId="77777777" w:rsidR="00797CE5" w:rsidRDefault="00797CE5" w:rsidP="006050F7">
      <w:pPr>
        <w:pStyle w:val="Heading1"/>
        <w:numPr>
          <w:ilvl w:val="0"/>
          <w:numId w:val="0"/>
        </w:numPr>
        <w:rPr>
          <w:lang w:val="en-US"/>
        </w:rPr>
      </w:pPr>
      <w:r>
        <w:rPr>
          <w:lang w:val="en-US"/>
        </w:rPr>
        <w:lastRenderedPageBreak/>
        <w:t>References</w:t>
      </w:r>
    </w:p>
    <w:p w14:paraId="42C8D945" w14:textId="5803045B" w:rsidR="00527277" w:rsidRDefault="00E7044A" w:rsidP="00797CE5">
      <w:r>
        <w:t>[1] R</w:t>
      </w:r>
      <w:r w:rsidR="00897EE3">
        <w:t>P-181482</w:t>
      </w:r>
    </w:p>
    <w:p w14:paraId="06CAF180" w14:textId="355E868E" w:rsidR="009A751A" w:rsidRDefault="009A751A" w:rsidP="00797CE5">
      <w:r>
        <w:t>[2] TS 36.133</w:t>
      </w:r>
    </w:p>
    <w:p w14:paraId="065CB85A" w14:textId="40DCF081" w:rsidR="00435839" w:rsidRDefault="00435839" w:rsidP="00797CE5">
      <w:r>
        <w:t>[3] TR 36.878</w:t>
      </w:r>
    </w:p>
    <w:p w14:paraId="770353E9" w14:textId="25C25241" w:rsidR="000C6B39" w:rsidRDefault="000C6B39" w:rsidP="00797CE5">
      <w:r>
        <w:t>[4] TS 36.101</w:t>
      </w:r>
    </w:p>
    <w:p w14:paraId="05891966" w14:textId="71FF9CDC" w:rsidR="00FC7471" w:rsidRDefault="00FC7471" w:rsidP="00797CE5">
      <w:pPr>
        <w:rPr>
          <w:lang w:val="en-US"/>
        </w:rPr>
      </w:pPr>
    </w:p>
    <w:sectPr w:rsidR="00FC7471" w:rsidSect="00571A0A">
      <w:footerReference w:type="even" r:id="rId26"/>
      <w:footerReference w:type="default" r:id="rId2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EDC36" w14:textId="77777777" w:rsidR="00135296" w:rsidRDefault="00135296">
      <w:r>
        <w:separator/>
      </w:r>
    </w:p>
  </w:endnote>
  <w:endnote w:type="continuationSeparator" w:id="0">
    <w:p w14:paraId="412AFA15" w14:textId="77777777" w:rsidR="00135296" w:rsidRDefault="0013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AC839" w14:textId="77777777" w:rsidR="00135296" w:rsidRDefault="00135296">
      <w:r>
        <w:separator/>
      </w:r>
    </w:p>
  </w:footnote>
  <w:footnote w:type="continuationSeparator" w:id="0">
    <w:p w14:paraId="278217DE" w14:textId="77777777" w:rsidR="00135296" w:rsidRDefault="00135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4F0C41"/>
    <w:multiLevelType w:val="hybridMultilevel"/>
    <w:tmpl w:val="A3D0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9866C9"/>
    <w:multiLevelType w:val="hybridMultilevel"/>
    <w:tmpl w:val="157CA3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
  </w:num>
  <w:num w:numId="8">
    <w:abstractNumId w:val="6"/>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A6C"/>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A25"/>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2919"/>
    <w:rsid w:val="00092CBB"/>
    <w:rsid w:val="00092DCA"/>
    <w:rsid w:val="000935E6"/>
    <w:rsid w:val="000937D2"/>
    <w:rsid w:val="000940C0"/>
    <w:rsid w:val="000940D2"/>
    <w:rsid w:val="000941FB"/>
    <w:rsid w:val="00094B65"/>
    <w:rsid w:val="00094FFF"/>
    <w:rsid w:val="000952C2"/>
    <w:rsid w:val="0009532B"/>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B39"/>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B1A"/>
    <w:rsid w:val="000E2C23"/>
    <w:rsid w:val="000E2D4A"/>
    <w:rsid w:val="000E2EE8"/>
    <w:rsid w:val="000E36AD"/>
    <w:rsid w:val="000E3771"/>
    <w:rsid w:val="000E3B40"/>
    <w:rsid w:val="000E3B4E"/>
    <w:rsid w:val="000E3D46"/>
    <w:rsid w:val="000E3D4B"/>
    <w:rsid w:val="000E3D7F"/>
    <w:rsid w:val="000E4841"/>
    <w:rsid w:val="000E5257"/>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96"/>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AC0"/>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4B"/>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BD"/>
    <w:rsid w:val="001E31EE"/>
    <w:rsid w:val="001E32E0"/>
    <w:rsid w:val="001E3571"/>
    <w:rsid w:val="001E3ECE"/>
    <w:rsid w:val="001E432B"/>
    <w:rsid w:val="001E443A"/>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82C"/>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4FA"/>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B42"/>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11"/>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3F88"/>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785"/>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1EB"/>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B8"/>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839"/>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78C"/>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2F05"/>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257"/>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72"/>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133"/>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E9F"/>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CD7"/>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748"/>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D17"/>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407"/>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59A"/>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C79"/>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74D"/>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54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390D"/>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86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C18"/>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29"/>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2FA5"/>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1DA8"/>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4A0"/>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1D1"/>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74E"/>
    <w:rsid w:val="00862A18"/>
    <w:rsid w:val="00862D38"/>
    <w:rsid w:val="00862DFA"/>
    <w:rsid w:val="00862E40"/>
    <w:rsid w:val="008632C0"/>
    <w:rsid w:val="008633B3"/>
    <w:rsid w:val="00863710"/>
    <w:rsid w:val="008637E8"/>
    <w:rsid w:val="00863944"/>
    <w:rsid w:val="00863AA0"/>
    <w:rsid w:val="00863C33"/>
    <w:rsid w:val="00863FFB"/>
    <w:rsid w:val="00864B8B"/>
    <w:rsid w:val="008652FA"/>
    <w:rsid w:val="00865391"/>
    <w:rsid w:val="00865468"/>
    <w:rsid w:val="00865859"/>
    <w:rsid w:val="00865C7F"/>
    <w:rsid w:val="00865E37"/>
    <w:rsid w:val="00866A62"/>
    <w:rsid w:val="00866F1A"/>
    <w:rsid w:val="00866F67"/>
    <w:rsid w:val="0086702E"/>
    <w:rsid w:val="008670A9"/>
    <w:rsid w:val="0086762F"/>
    <w:rsid w:val="0086772C"/>
    <w:rsid w:val="008679CC"/>
    <w:rsid w:val="00867D23"/>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EA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EE3"/>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487"/>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E42"/>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2A7"/>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2A6C"/>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317"/>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1A"/>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60A"/>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428"/>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7"/>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33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28A"/>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DD"/>
    <w:rsid w:val="00B474E6"/>
    <w:rsid w:val="00B47751"/>
    <w:rsid w:val="00B47DD7"/>
    <w:rsid w:val="00B5004F"/>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1BEC"/>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BA5"/>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1F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CE6"/>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1C14"/>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5C35"/>
    <w:rsid w:val="00C462FE"/>
    <w:rsid w:val="00C4654D"/>
    <w:rsid w:val="00C466E6"/>
    <w:rsid w:val="00C4674E"/>
    <w:rsid w:val="00C46C1E"/>
    <w:rsid w:val="00C46CEF"/>
    <w:rsid w:val="00C46DED"/>
    <w:rsid w:val="00C470B3"/>
    <w:rsid w:val="00C472FE"/>
    <w:rsid w:val="00C474D3"/>
    <w:rsid w:val="00C4792D"/>
    <w:rsid w:val="00C500CA"/>
    <w:rsid w:val="00C506E0"/>
    <w:rsid w:val="00C50C91"/>
    <w:rsid w:val="00C50DD6"/>
    <w:rsid w:val="00C517EC"/>
    <w:rsid w:val="00C51D44"/>
    <w:rsid w:val="00C51E2C"/>
    <w:rsid w:val="00C520B6"/>
    <w:rsid w:val="00C52110"/>
    <w:rsid w:val="00C52184"/>
    <w:rsid w:val="00C522D0"/>
    <w:rsid w:val="00C523A2"/>
    <w:rsid w:val="00C52CCA"/>
    <w:rsid w:val="00C53057"/>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8B5"/>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6D1"/>
    <w:rsid w:val="00C76A00"/>
    <w:rsid w:val="00C7775F"/>
    <w:rsid w:val="00C779E7"/>
    <w:rsid w:val="00C8025A"/>
    <w:rsid w:val="00C80669"/>
    <w:rsid w:val="00C80BF9"/>
    <w:rsid w:val="00C80D4F"/>
    <w:rsid w:val="00C80EAC"/>
    <w:rsid w:val="00C810A1"/>
    <w:rsid w:val="00C81114"/>
    <w:rsid w:val="00C813BB"/>
    <w:rsid w:val="00C81497"/>
    <w:rsid w:val="00C82D0D"/>
    <w:rsid w:val="00C82D23"/>
    <w:rsid w:val="00C83091"/>
    <w:rsid w:val="00C8341D"/>
    <w:rsid w:val="00C83527"/>
    <w:rsid w:val="00C83566"/>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0EE"/>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BF7"/>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CF7FD1"/>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2E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8CF"/>
    <w:rsid w:val="00DE1CF4"/>
    <w:rsid w:val="00DE2278"/>
    <w:rsid w:val="00DE22BB"/>
    <w:rsid w:val="00DE25C9"/>
    <w:rsid w:val="00DE26A4"/>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2B5"/>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3EF"/>
    <w:rsid w:val="00EA2597"/>
    <w:rsid w:val="00EA2601"/>
    <w:rsid w:val="00EA2F57"/>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2EF"/>
    <w:rsid w:val="00F64734"/>
    <w:rsid w:val="00F64741"/>
    <w:rsid w:val="00F653D9"/>
    <w:rsid w:val="00F659D9"/>
    <w:rsid w:val="00F65D47"/>
    <w:rsid w:val="00F65DC2"/>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0E"/>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754"/>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C99"/>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6F51"/>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3A5"/>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cid:image001.png@01D4BD67.B7AE1F7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cid:image001.png@01D4C389.F87E75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571EA-7C8A-42F0-B71F-BBC609AD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901</TotalTime>
  <Pages>8</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43</cp:revision>
  <cp:lastPrinted>2009-04-22T21:01:00Z</cp:lastPrinted>
  <dcterms:created xsi:type="dcterms:W3CDTF">2019-02-03T17:48:00Z</dcterms:created>
  <dcterms:modified xsi:type="dcterms:W3CDTF">2019-02-14T16:01:00Z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